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A5C1" w14:textId="6FA37B27" w:rsidR="00BB7319" w:rsidRPr="001B2E8C" w:rsidRDefault="00B125B0" w:rsidP="00BB7319">
      <w:pPr>
        <w:pStyle w:val="PSBodyText"/>
        <w:spacing w:line="240" w:lineRule="auto"/>
        <w:rPr>
          <w:color w:val="auto"/>
          <w:lang w:val="fr-FR"/>
        </w:rPr>
      </w:pP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>16 avril</w:t>
      </w:r>
      <w:r w:rsidR="00BB7319">
        <w:rPr>
          <w:rFonts w:eastAsia="Amnesty Trade Gothic Light" w:cs="Amnesty Trade Gothic Light"/>
          <w:color w:val="auto"/>
          <w:szCs w:val="20"/>
          <w:bdr w:val="nil"/>
          <w:lang w:val="fr-FR"/>
        </w:rPr>
        <w:t xml:space="preserve"> 2020 </w:t>
      </w:r>
      <w:r w:rsidR="00BB7319">
        <w:rPr>
          <w:rFonts w:eastAsia="Amnesty Trade Gothic Light" w:cs="Amnesty Trade Gothic Light"/>
          <w:color w:val="auto"/>
          <w:szCs w:val="20"/>
          <w:bdr w:val="nil"/>
          <w:lang w:val="fr-FR"/>
        </w:rPr>
        <w:tab/>
        <w:t xml:space="preserve"> </w:t>
      </w:r>
      <w:r w:rsidR="00BB7319">
        <w:rPr>
          <w:rFonts w:eastAsia="Amnesty Trade Gothic Light" w:cs="Amnesty Trade Gothic Light"/>
          <w:color w:val="auto"/>
          <w:szCs w:val="20"/>
          <w:bdr w:val="nil"/>
          <w:lang w:val="fr-FR"/>
        </w:rPr>
        <w:tab/>
        <w:t>EUR 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>01/2098</w:t>
      </w:r>
      <w:bookmarkStart w:id="0" w:name="_GoBack"/>
      <w:bookmarkEnd w:id="0"/>
      <w:r w:rsidR="00BB7319">
        <w:rPr>
          <w:rFonts w:eastAsia="Amnesty Trade Gothic Light" w:cs="Amnesty Trade Gothic Light"/>
          <w:color w:val="auto"/>
          <w:szCs w:val="20"/>
          <w:bdr w:val="nil"/>
          <w:lang w:val="fr-FR"/>
        </w:rPr>
        <w:t>/2020</w:t>
      </w:r>
    </w:p>
    <w:p w14:paraId="41D5799E" w14:textId="77777777" w:rsidR="00A94F30" w:rsidRPr="00F641E9" w:rsidRDefault="00A94F30" w:rsidP="00B22405">
      <w:pPr>
        <w:pStyle w:val="PSBodyText"/>
        <w:spacing w:line="240" w:lineRule="auto"/>
        <w:rPr>
          <w:color w:val="auto"/>
        </w:rPr>
      </w:pPr>
    </w:p>
    <w:p w14:paraId="41D5799F" w14:textId="77777777" w:rsidR="00184F46" w:rsidRDefault="00917370" w:rsidP="00330889">
      <w:pPr>
        <w:pStyle w:val="PSTitle"/>
      </w:pPr>
      <w:r>
        <w:rPr>
          <w:rFonts w:ascii="Amnesty Trade Gothic Cn" w:eastAsia="Amnesty Trade Gothic Cn" w:hAnsi="Amnesty Trade Gothic Cn" w:cs="Amnesty Trade Gothic Cn"/>
          <w:color w:val="000000"/>
          <w:bdr w:val="nil"/>
          <w:lang w:val="fr-FR"/>
        </w:rPr>
        <w:t>Allemagne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5"/>
      </w:tblGrid>
      <w:tr w:rsidR="007415E7" w:rsidRPr="00B125B0" w14:paraId="41D579A3" w14:textId="77777777">
        <w:trPr>
          <w:trHeight w:val="1071"/>
        </w:trPr>
        <w:tc>
          <w:tcPr>
            <w:tcW w:w="10255" w:type="dxa"/>
          </w:tcPr>
          <w:p w14:paraId="41D579A0" w14:textId="7339518D" w:rsidR="00472A97" w:rsidRPr="008E403C" w:rsidRDefault="00917370" w:rsidP="00F20D89">
            <w:pPr>
              <w:pStyle w:val="PSBodyText"/>
              <w:rPr>
                <w:b/>
                <w:bCs/>
                <w:color w:val="auto"/>
                <w:lang w:val="fr-FR"/>
              </w:rPr>
            </w:pPr>
            <w:r>
              <w:rPr>
                <w:rFonts w:eastAsia="Amnesty Trade Gothic Light" w:cs="Amnesty Trade Gothic Light"/>
                <w:b/>
                <w:bCs/>
                <w:color w:val="auto"/>
                <w:szCs w:val="20"/>
                <w:bdr w:val="nil"/>
                <w:lang w:val="fr-FR"/>
              </w:rPr>
              <w:t>République fédérale d</w:t>
            </w:r>
            <w:r w:rsidR="004428FA">
              <w:rPr>
                <w:rFonts w:eastAsia="Amnesty Trade Gothic Light" w:cs="Amnesty Trade Gothic Light"/>
                <w:b/>
                <w:bCs/>
                <w:color w:val="auto"/>
                <w:szCs w:val="20"/>
                <w:bdr w:val="nil"/>
                <w:lang w:val="fr-FR"/>
              </w:rPr>
              <w:t>’</w:t>
            </w:r>
            <w:r>
              <w:rPr>
                <w:rFonts w:eastAsia="Amnesty Trade Gothic Light" w:cs="Amnesty Trade Gothic Light"/>
                <w:b/>
                <w:bCs/>
                <w:color w:val="auto"/>
                <w:szCs w:val="20"/>
                <w:bdr w:val="nil"/>
                <w:lang w:val="fr-FR"/>
              </w:rPr>
              <w:t>Allemagne</w:t>
            </w:r>
          </w:p>
          <w:p w14:paraId="41D579A1" w14:textId="5D7B932C" w:rsidR="00472A97" w:rsidRPr="008E403C" w:rsidRDefault="00917370" w:rsidP="00F20D89">
            <w:pPr>
              <w:pStyle w:val="PSBodyText"/>
              <w:rPr>
                <w:b/>
                <w:bCs/>
                <w:color w:val="auto"/>
                <w:lang w:val="fr-FR"/>
              </w:rPr>
            </w:pPr>
            <w:r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>Chef de l</w:t>
            </w:r>
            <w:r w:rsidR="004428FA"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>’</w:t>
            </w:r>
            <w:r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>État</w:t>
            </w:r>
            <w:r w:rsidR="004428FA"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> :</w:t>
            </w:r>
            <w:r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 xml:space="preserve"> </w:t>
            </w:r>
            <w:r>
              <w:rPr>
                <w:rFonts w:eastAsia="Amnesty Trade Gothic Light" w:cs="Amnesty Trade Gothic Light"/>
                <w:b/>
                <w:bCs/>
                <w:color w:val="auto"/>
                <w:szCs w:val="20"/>
                <w:bdr w:val="nil"/>
                <w:lang w:val="fr-FR"/>
              </w:rPr>
              <w:t>Frank-Walter Steinmeier</w:t>
            </w:r>
          </w:p>
          <w:p w14:paraId="41D579A2" w14:textId="22A1278D" w:rsidR="00472A97" w:rsidRPr="008E403C" w:rsidRDefault="00917370" w:rsidP="009A7694">
            <w:pPr>
              <w:pStyle w:val="PSBodyText"/>
              <w:rPr>
                <w:b/>
                <w:bCs/>
                <w:color w:val="auto"/>
                <w:lang w:val="fr-FR"/>
              </w:rPr>
            </w:pPr>
            <w:r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>Cheffe du gouvernement</w:t>
            </w:r>
            <w:r w:rsidR="004428FA"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> :</w:t>
            </w:r>
            <w:r>
              <w:rPr>
                <w:rFonts w:eastAsia="Amnesty Trade Gothic Light" w:cs="Amnesty Trade Gothic Light"/>
                <w:color w:val="auto"/>
                <w:szCs w:val="20"/>
                <w:bdr w:val="nil"/>
                <w:lang w:val="fr-FR"/>
              </w:rPr>
              <w:t xml:space="preserve"> </w:t>
            </w:r>
            <w:r>
              <w:rPr>
                <w:rFonts w:eastAsia="Amnesty Trade Gothic Light" w:cs="Amnesty Trade Gothic Light"/>
                <w:b/>
                <w:bCs/>
                <w:color w:val="auto"/>
                <w:szCs w:val="20"/>
                <w:bdr w:val="nil"/>
                <w:lang w:val="fr-FR"/>
              </w:rPr>
              <w:t>Angela Merkel</w:t>
            </w:r>
          </w:p>
        </w:tc>
      </w:tr>
    </w:tbl>
    <w:p w14:paraId="41D579A4" w14:textId="77777777" w:rsidR="00472A97" w:rsidRPr="008E403C" w:rsidRDefault="00472A97" w:rsidP="002808CF">
      <w:pPr>
        <w:pStyle w:val="PSBodyText"/>
        <w:rPr>
          <w:color w:val="auto"/>
          <w:lang w:val="fr-FR"/>
        </w:rPr>
      </w:pPr>
    </w:p>
    <w:p w14:paraId="41D579A5" w14:textId="26140148" w:rsidR="00BC53A9" w:rsidRPr="008E403C" w:rsidRDefault="00917370" w:rsidP="002808CF">
      <w:pPr>
        <w:pStyle w:val="PSBodyText"/>
        <w:rPr>
          <w:color w:val="auto"/>
          <w:lang w:val="fr-FR"/>
        </w:rPr>
      </w:pP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>Une majorité d</w:t>
      </w:r>
      <w:r w:rsidR="004428FA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 xml:space="preserve">États </w:t>
      </w:r>
      <w:r w:rsidRPr="00BB7319">
        <w:rPr>
          <w:rFonts w:eastAsia="Amnesty Trade Gothic Light" w:cs="Amnesty Trade Gothic Light"/>
          <w:i/>
          <w:color w:val="auto"/>
          <w:szCs w:val="20"/>
          <w:bdr w:val="nil"/>
          <w:lang w:val="fr-FR"/>
        </w:rPr>
        <w:t>(Länder)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 xml:space="preserve"> composant la République fédérale ont considérablement élargi les pouvoirs de la police, l</w:t>
      </w:r>
      <w:r w:rsidR="004428FA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 xml:space="preserve">autorisant notamment à imposer des mesures de surveillance étendue. Le nombre des infractions antisémites et racistes a augmenté. </w:t>
      </w:r>
      <w:r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Un quart des personnes migrantes ou réfugiées secourues en Méditerranée ont été relocalisées en Allemagne. 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>Le gouvernement a revu ses principes en matière d</w:t>
      </w:r>
      <w:r w:rsidR="004428FA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>exportation d</w:t>
      </w:r>
      <w:r w:rsidR="004428FA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>
        <w:rPr>
          <w:rFonts w:eastAsia="Amnesty Trade Gothic Light" w:cs="Amnesty Trade Gothic Light"/>
          <w:color w:val="auto"/>
          <w:szCs w:val="20"/>
          <w:bdr w:val="nil"/>
          <w:lang w:val="fr-FR"/>
        </w:rPr>
        <w:t>armes.</w:t>
      </w:r>
    </w:p>
    <w:p w14:paraId="41D579A6" w14:textId="35E668B2" w:rsidR="00F33BD8" w:rsidRPr="00AD619B" w:rsidRDefault="00AD619B" w:rsidP="00F33BD8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JUSTICE INTERNATIONALE</w:t>
      </w:r>
    </w:p>
    <w:p w14:paraId="41D579A7" w14:textId="5B21CC7E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Le procureur général a continué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enquêter sur les crimes de guerre et les crimes contre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humanité perpétrés par des représentants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État syrien travaillant pour la police militaire et différents services de renseignement. En juin 2018, la Cour fédérale de justice a émis un mandat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arrêt international à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encontre de Jamil Hassan, responsable du Service de renseignement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armée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air syrienne jusqu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 juillet 2019.</w:t>
      </w:r>
    </w:p>
    <w:p w14:paraId="41D579A8" w14:textId="38A3883C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 février, deux membres de la Direction syrienne des renseignements généraux soupçonnés de crimes contre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humanité et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autres atteintes au droit international ont été arrêtés en Allemagne. Ils ont été inculpés de crimes contre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humanité en octobre par le parquet fédéral.</w:t>
      </w:r>
    </w:p>
    <w:p w14:paraId="41D579A9" w14:textId="107A10E2" w:rsidR="0071159B" w:rsidRPr="00AD619B" w:rsidRDefault="00AD619B" w:rsidP="0071159B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POLICE ET FORCES DE SÉCURITÉ</w:t>
      </w:r>
    </w:p>
    <w:p w14:paraId="41D579AA" w14:textId="471DEA01" w:rsidR="0071159B" w:rsidRPr="00AD619B" w:rsidRDefault="00917370" w:rsidP="0071159B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Dans la foulée des modifications apportées récemment à la Loi fédérale sur la police, une majorité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États ont modifié leur législation dans ce domaine, en élargissant considérablement les pouvoirs des forces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ordre.</w:t>
      </w:r>
    </w:p>
    <w:p w14:paraId="41D579AB" w14:textId="634B5026" w:rsidR="0071159B" w:rsidRPr="00AD619B" w:rsidRDefault="00917370" w:rsidP="0071159B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Ils ont pour la plupart autorisé la police à imposer diverses mesures administratives aux personnes identifiées comme des 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« 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agresseurs potentiels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 »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, même en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absence de raisons plausibles de les soupçonner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être impliquées dans une infraction ou de constituer une menace imminente. Sur la base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une définition très vague, à savoir si elle était perçue comme 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« 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susceptible de commettre une infraction dans le futur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 »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, une personne pouvait ainsi faire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objet de mesures policières de grande envergure, telles que la surveillance des communications ou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assignation à résidence. Plusieurs États, dont la Rhénanie du Nord-Westphalie, la Bavière, la Hesse et la Basse-Saxe, ont adopté des mesures de surveillance étendue qui pouvaient également être imposées à des 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« 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agresseurs potentiels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 »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(installation de logiciels espions destinés à surveiller les téléphones portables et les ordinateurs ou à récupérer des données dans des communications chiffrées).</w:t>
      </w:r>
    </w:p>
    <w:p w14:paraId="41D579AC" w14:textId="5B4EB9B0" w:rsidR="0071159B" w:rsidRPr="00AD619B" w:rsidRDefault="00917370" w:rsidP="0071159B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 Rhénanie du Nord-Westphalie, une personne qui refusait de communiquer son identité pouvait être placée jusqu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à une semaine en détention administrative afin de permettre son identification.</w:t>
      </w:r>
    </w:p>
    <w:p w14:paraId="41D579AD" w14:textId="763686C0" w:rsidR="0071159B" w:rsidRPr="00AD619B" w:rsidRDefault="00917370" w:rsidP="0071159B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Des organisations de la société civile ont à nouveau fait état de contrôles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identité effectués par la police qui étaient discriminatoires à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égard de membres de minorités ethniques et religieuses. Les autorités fédérales et celles des États n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ont pas créé de mécanismes de plainte indépendants chargés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examiner les allégations de comportements illégaux de la part de policiers.</w:t>
      </w:r>
    </w:p>
    <w:p w14:paraId="41D579AE" w14:textId="24DC7095" w:rsidR="0071159B" w:rsidRPr="00AD619B" w:rsidRDefault="00917370" w:rsidP="0071159B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Alors que les mauvais traitements infligés par la police à des personnes venues protester contre la tenue du sommet du G20, en 2017 à Hambourg, avaient donné lieu à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ouverture de 168 informations judiciaires contre des policiers, aucune inculpation n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avait été prononcée en novembre. Un</w:t>
      </w:r>
      <w:r w:rsidR="005E2F13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</w:t>
      </w:r>
      <w:r w:rsidR="00EA388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ordonnance de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non-lieu a été </w:t>
      </w:r>
      <w:r w:rsidR="00EA388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rendue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dans plusieurs cas, faute de pouvoir identifier les policiers en cause.</w:t>
      </w:r>
    </w:p>
    <w:p w14:paraId="41D579AF" w14:textId="37D7CF48" w:rsidR="0071159B" w:rsidRPr="00AD619B" w:rsidRDefault="00917370" w:rsidP="0071159B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lastRenderedPageBreak/>
        <w:t xml:space="preserve">En octobre, le </w:t>
      </w:r>
      <w:r w:rsidR="00BB7319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p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arlement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État de Hambourg a instauré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obligation pour les agents des forces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ordre de porter un badge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identification. Cette mesure n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était toutefois pas imposée dans six autres États allemands.</w:t>
      </w:r>
    </w:p>
    <w:p w14:paraId="41D579B0" w14:textId="1C672E03" w:rsidR="00997C3C" w:rsidRPr="00AD619B" w:rsidRDefault="00AD619B" w:rsidP="00997C3C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DROIT AU RESPECT DE LA VIE PRIVÉE</w:t>
      </w:r>
    </w:p>
    <w:p w14:paraId="41D579B1" w14:textId="6D37DE1C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De nombreux États ont élargi la possibilité de recourir à la vidéosurveillance dans les lieux publics. Le Bade-Wurtemberg et la Saxe y ont inclus la reconnaissance faciale dans certaines circonstances – par exemple pour repérer certains comportements associés à des actes répréhensibles.</w:t>
      </w:r>
    </w:p>
    <w:p w14:paraId="41D579B2" w14:textId="30FC0F03" w:rsidR="00D26A87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La loi relative au renseignement était toujours contraire au droit international relatif aux droits humains et aux normes internationales dans ce domaine. Les services de renseignement, et en particulier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Office fédéral de renseignements, se livraient toujours à des activités de surveillance en 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appuyant sur des dispositions législatives excessivement larges et vagues. Le dispositif de supervision de ces services restait insuffisant.</w:t>
      </w:r>
    </w:p>
    <w:p w14:paraId="41D579B3" w14:textId="31A59465" w:rsidR="00BD1CD5" w:rsidRPr="00AD619B" w:rsidRDefault="00AD619B" w:rsidP="00BD1CD5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DROITS DES PERSONNES MIGRANTES</w:t>
      </w:r>
    </w:p>
    <w:p w14:paraId="41D579B4" w14:textId="1350DA07" w:rsidR="00677DD4" w:rsidRPr="00AD619B" w:rsidRDefault="00917370" w:rsidP="00BD1CD5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À partir du mois de janvier, les autorités ont mis en œuvre un nouveau mécanisme de regroupement familial pour les bénéficiaires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une protection subsidiaire, limitant</w:t>
      </w:r>
      <w:r w:rsidR="00BB7319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à 1 000 par mois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le nombre de membres de l</w:t>
      </w:r>
      <w:r w:rsidR="00BB7319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eurs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famille</w:t>
      </w:r>
      <w:r w:rsidR="00BB7319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s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</w:t>
      </w:r>
      <w:r w:rsidR="00BB7319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autorisés à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venir dans le pays.</w:t>
      </w:r>
    </w:p>
    <w:p w14:paraId="41D579B5" w14:textId="1FC8E9C7" w:rsidR="006147CD" w:rsidRPr="00AD619B" w:rsidRDefault="00917370" w:rsidP="00BD1CD5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Une nouvelle loi facilitant le placement en détention de migrant·e·s devant être expulsés a été adoptée en juin. Ce texte élargissait les critères de détention au-delà du risque de fuite, prolongeait la durée possible de la détention et autorisait le placement de migrant·e·s dans des prisons classiques dans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attente de leur expulsion. À la fin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année, 360 Afghans avaient été renvoyés de force dans leur pays.</w:t>
      </w:r>
    </w:p>
    <w:p w14:paraId="41D579B6" w14:textId="69350FB8" w:rsidR="00BD1CD5" w:rsidRPr="00AD619B" w:rsidRDefault="00917370" w:rsidP="00BD1CD5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Allemagne a accepté, au cas par cas, la relocalisation sur son territoire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 quart des personnes réfugiées et migrantes secourues lors des opérations de recherche et de sauvetage menées en Méditerranée centrale et a plaidé en faveur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 mécanisme temporaire de débarquement de ces personnes.</w:t>
      </w:r>
    </w:p>
    <w:p w14:paraId="41D579B7" w14:textId="79BD49B6" w:rsidR="00AA3465" w:rsidRPr="00AD619B" w:rsidRDefault="00917370" w:rsidP="00AA3465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Allemagne 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était engagée à proposer 10 200 places de réinstallation sur la période 2018/</w:t>
      </w:r>
      <w:r w:rsidR="004D3E4F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20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19. </w:t>
      </w:r>
      <w:r w:rsidR="004D3E4F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À la fin de l’année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2019, 7 974 </w:t>
      </w:r>
      <w:proofErr w:type="gramStart"/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réfugié</w:t>
      </w:r>
      <w:proofErr w:type="gramEnd"/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·e·s avaient été réinstallés, dont 4 987 Syriens et Syriennes au titre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accord conclu entre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Union européenne et la Turquie.</w:t>
      </w:r>
    </w:p>
    <w:p w14:paraId="41D579B8" w14:textId="68172BA3" w:rsidR="00F33BD8" w:rsidRPr="00AD619B" w:rsidRDefault="00AD619B" w:rsidP="00F33BD8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DISCRIMINATION – LES CRIMES DE HAINE</w:t>
      </w:r>
    </w:p>
    <w:p w14:paraId="41D579B9" w14:textId="6DC1C3D3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Le tribunal régional supérieur (Cour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appel) de Munich a rendu le 11 juillet 2018 sa décision concernant les meurtres racistes et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autres crimes commis sur une période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une dizaine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années par le groupuscule Clandestinité nationale-socialiste (NSU). Il a condamné Beate Zschäpe à la réclusion à perpétuité pour meurtre, tentative de meurtre et appartenance à une organisation terroriste. Quatre hommes ont été condamnés pour complicité de meurtre. Les deux autres suspects principaux 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étaient suicidés en 2011.</w:t>
      </w:r>
    </w:p>
    <w:p w14:paraId="41D579BA" w14:textId="253715F9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Le ministère fédéral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Intérieur a recensé 8 113 crimes motivés par la haine en 2018. Ceux à caractère antisémite et raciste ont augmenté de 19 % cette année-là. Les autorités tant fédérales que régionales n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avaient cependant pas mis en œuvre de stratégie globale pour lutter contre ce type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infractions.</w:t>
      </w:r>
    </w:p>
    <w:p w14:paraId="41D579BB" w14:textId="3AAED644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Le préfet de Cassel, Walter Lübcke, a été tué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une balle dans la tête au mois de juin. Un homme néonazi a avoué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avoir assassiné en raison du soutien qu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avait affiché le préfet à la politique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accueil des réfugié·e·s mise en place par Angela Merkel en 2015. Le suspect 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est ensuite rétracté, mais il a été maintenu en détention provisoire.</w:t>
      </w:r>
    </w:p>
    <w:p w14:paraId="41D579BC" w14:textId="4EC83D23" w:rsidR="00F33BD8" w:rsidRPr="00AD619B" w:rsidRDefault="00917370" w:rsidP="00F33BD8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 octobre, un homme armé a tenté de prendre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assaut la synagogue de Halle-sur-Saale pendant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office de Yom Kippour, ouvrant le feu contre la porte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édifice. Il a ensuite abattu une femme, puis s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est dirigé vers un restaurant voisin, où il a </w:t>
      </w:r>
      <w:r w:rsidR="00AA07A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tué un homm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e.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agresseur a fait des aveux détaillés, dans lesquels il reconnaissait avoir agi par antisémitisme et par racisme.</w:t>
      </w:r>
    </w:p>
    <w:p w14:paraId="41D579BD" w14:textId="6FEA3581" w:rsidR="001904F0" w:rsidRPr="00AD619B" w:rsidRDefault="00AD619B" w:rsidP="001904F0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COMMERCE DES ARMES</w:t>
      </w:r>
    </w:p>
    <w:p w14:paraId="41D579BF" w14:textId="298AF295" w:rsidR="00E82750" w:rsidRPr="00AD619B" w:rsidRDefault="00917370" w:rsidP="008E403C">
      <w:pPr>
        <w:spacing w:after="120"/>
        <w:rPr>
          <w:rFonts w:ascii="Times" w:hAnsi="Times"/>
          <w:color w:val="auto"/>
          <w:lang w:val="fr-FR" w:eastAsia="de-DE"/>
        </w:rPr>
      </w:pPr>
      <w:r w:rsidRPr="00AD619B">
        <w:rPr>
          <w:rFonts w:eastAsia="Amnesty Trade Gothic Light" w:cs="Amnesty Trade Gothic Light"/>
          <w:color w:val="auto"/>
          <w:bdr w:val="nil"/>
          <w:lang w:val="fr-FR"/>
        </w:rPr>
        <w:t>Le gouvernement a revu en juin, pour la première fois depuis 19 ans, ses Principes politiques applicables aux exportations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armes de guerre et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autres équipements militaires (principes n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ayant pas force de loi). Selon les nouveaux principes, il était désormais interdit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exporter des armes légères vers des pays autres que les membres de l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Union européenne (UE), ceux de l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OTAN ou certains pays assimilés (Australie, Japon, Nouvelle-Zélande et Suisse). Le texte révisé prévoyait également des restrictions à la production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 xml:space="preserve">armements hors du territoire allemand, ainsi que le contrôle 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lastRenderedPageBreak/>
        <w:t>des exportations allemandes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armes avec l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instauration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inspections après expédition. Il encourageait cependant la fabrication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armes en partenariat avec d</w:t>
      </w:r>
      <w:r w:rsidR="004428FA" w:rsidRPr="00AD619B">
        <w:rPr>
          <w:rFonts w:eastAsia="Amnesty Trade Gothic Light" w:cs="Amnesty Trade Gothic Light"/>
          <w:color w:val="auto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bdr w:val="nil"/>
          <w:lang w:val="fr-FR"/>
        </w:rPr>
        <w:t>autres pays européens, ce qui faisait craindre que le dispositif allemand plus rigoureux de contrôle des exportations ne continue à être contourné.</w:t>
      </w:r>
    </w:p>
    <w:p w14:paraId="41D579C0" w14:textId="09557221" w:rsidR="001904F0" w:rsidRPr="00AD619B" w:rsidRDefault="00917370" w:rsidP="001904F0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 octobre,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Allemagne et la France ont conclu un accord facilitant la fourniture de pièces et composants allemands destinés à des projets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armements communs aux deux pays et fabriqués en France. Cet accord autorisait la fourniture de pièces et de composants entrant dans la composition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armes à destination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États ne pouvant se voir octroyer une autorisation au titre de la réglementation allemande sur les exportation</w:t>
      </w:r>
      <w:r w:rsidR="004D3E4F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s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, à condition que la part des pièces et composants fournis par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Allemagne n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excède pas 20 % de la valeur totale des marchandises exportées.</w:t>
      </w:r>
    </w:p>
    <w:p w14:paraId="068DF6AC" w14:textId="72DE39AF" w:rsidR="004D3E4F" w:rsidRPr="00AD619B" w:rsidRDefault="00917370" w:rsidP="00FF52AB">
      <w:pPr>
        <w:pStyle w:val="PSBodyText"/>
        <w:rPr>
          <w:rFonts w:eastAsia="Amnesty Trade Gothic Light" w:cs="Amnesty Trade Gothic Light"/>
          <w:color w:val="000000"/>
          <w:szCs w:val="20"/>
          <w:bdr w:val="nil"/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Prolongé à deux reprises en 2019, le moratoire sur les exportations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armes à destination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Arabie saoudite était toujours en vigueur à la fin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année. Ce moratoire ne visait toutefois que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Arabie saoudite, et pas les autres pays impliqués dans le conflit au Yémen.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exportation de pièces et composants allemands destinés à des projets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="00F26B36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armement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 européens conjoints demeurait autorisée.</w:t>
      </w:r>
    </w:p>
    <w:p w14:paraId="41D579C1" w14:textId="0F3CE394" w:rsidR="00FF52AB" w:rsidRPr="00AD619B" w:rsidRDefault="00917370" w:rsidP="00FF52AB">
      <w:pPr>
        <w:pStyle w:val="PSBodyText"/>
        <w:rPr>
          <w:color w:val="auto"/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Le parquet a ouvert en septembre une information judiciaire contre les dirigeants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entreprise allemande FinFisher pour exportation illégale présumée de technologies de surveillance à destination de la Turquie.</w:t>
      </w:r>
    </w:p>
    <w:p w14:paraId="41D579C2" w14:textId="5257E3D6" w:rsidR="001904F0" w:rsidRPr="00AD619B" w:rsidRDefault="00917370" w:rsidP="001904F0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Au lendemain de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offensive lancée par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armée turque dans le nord de la Syrie, au mois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octobre,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octroi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autorisations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exportation vers la Turquie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armes susceptibles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être utilisées dans le conflit a été suspendu. Les exportations réalisées au titre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autorisations délivrées avant cette date n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ont toutefois pas été interrompues.</w:t>
      </w:r>
    </w:p>
    <w:p w14:paraId="41D579C3" w14:textId="162E9364" w:rsidR="001904F0" w:rsidRPr="00AD619B" w:rsidRDefault="00AD619B" w:rsidP="001904F0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RESPONSABILITÉ DES ENTREPRISES</w:t>
      </w:r>
    </w:p>
    <w:p w14:paraId="41D579C4" w14:textId="10CC6CED" w:rsidR="001904F0" w:rsidRPr="00AD619B" w:rsidRDefault="00917370" w:rsidP="001904F0">
      <w:pPr>
        <w:pStyle w:val="PSBodyText"/>
        <w:rPr>
          <w:color w:val="auto"/>
          <w:lang w:val="fr-FR"/>
        </w:rPr>
      </w:pP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Il n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était toujours pas obligatoire pour les entreprises de faire preuve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une diligence suffisante pour veiller au respect des droits humains dans l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intégralité de leurs opérations et de leur chaîne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approvisionnement. En juillet, après un débat sur la nécessité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adopter des règles contraignantes en la matière, le gouvernement a lancé un processus de suivi pour vérifier dans quelle mesure les entreprises s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acquittaient bien de cette mission. Un questionnaire a été adressé à cet effet à quelque 3 000 grandes entreprises allemandes prises au hasard. Le gouvernement a indiqué, dans le cadre de son Plan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action national sur la responsabilité des entreprises en matière de droits humains, qu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il pourrait être amené à prendre des mesures législatives s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il s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avérait que moins de 50 % des entreprises déclaraient faire preuve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une diligence suffisante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ici 2020. Sur les 464 entreprises ayant répondu au questionnaire, seules 20 % appliquaient des procédures de diligence satisfaisantes. D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aucuns craignaient cependant que les résultats ne soient pas fiables et que la réalité soit finalement encore plus sombre, dans la mesure où les entreprises n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étaient pas obligées de répondre au questionnaire et où aucune vérification des réponses n</w:t>
      </w:r>
      <w:r w:rsidR="004428FA"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auto"/>
          <w:szCs w:val="20"/>
          <w:bdr w:val="nil"/>
          <w:lang w:val="fr-FR"/>
        </w:rPr>
        <w:t>était prévue. Deux ministères ont annoncé en décembre 2019 avoir commencé à travailler sur un projet de loi en la matière qui aurait force obligatoire.</w:t>
      </w:r>
    </w:p>
    <w:p w14:paraId="41D579C5" w14:textId="0D7B6DF5" w:rsidR="00A94F30" w:rsidRPr="00AD619B" w:rsidRDefault="00917370" w:rsidP="0017530E">
      <w:pPr>
        <w:pStyle w:val="PSBodyText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accès à des voies de recours pour les victimes d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atteintes aux droits humains commises à l</w:t>
      </w:r>
      <w:r w:rsidR="004428FA"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 xml:space="preserve">étranger par des entreprises allemandes ou impliquant la responsabilité de celles-ci demeurait très </w:t>
      </w:r>
      <w:proofErr w:type="gramStart"/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compliqué</w:t>
      </w:r>
      <w:proofErr w:type="gramEnd"/>
      <w:r w:rsidRPr="00AD619B">
        <w:rPr>
          <w:rFonts w:eastAsia="Amnesty Trade Gothic Light" w:cs="Amnesty Trade Gothic Light"/>
          <w:color w:val="000000"/>
          <w:szCs w:val="20"/>
          <w:bdr w:val="nil"/>
          <w:lang w:val="fr-FR"/>
        </w:rPr>
        <w:t>.</w:t>
      </w:r>
    </w:p>
    <w:p w14:paraId="41D579C6" w14:textId="0AC28936" w:rsidR="00C6298A" w:rsidRPr="00AD619B" w:rsidRDefault="00AD619B" w:rsidP="00C6298A">
      <w:pPr>
        <w:pStyle w:val="CSSubHeading"/>
        <w:rPr>
          <w:lang w:val="fr-FR"/>
        </w:rPr>
      </w:pPr>
      <w:r w:rsidRPr="00AD619B">
        <w:rPr>
          <w:rFonts w:eastAsia="Amnesty Trade Gothic Cn" w:cs="Amnesty Trade Gothic Cn"/>
          <w:bCs/>
          <w:color w:val="000000"/>
          <w:szCs w:val="28"/>
          <w:bdr w:val="nil"/>
          <w:lang w:val="fr-FR"/>
        </w:rPr>
        <w:t>DROITS DES LESBIENNES, DES GAYS ET DES PERSONNES BISEXUELLES, TRANSGENRES OU INTERSEXES</w:t>
      </w:r>
    </w:p>
    <w:p w14:paraId="41D579C7" w14:textId="02B018AA" w:rsidR="00D33C5B" w:rsidRPr="00AD619B" w:rsidRDefault="00917370" w:rsidP="00D33C5B">
      <w:pPr>
        <w:pStyle w:val="Commentaire"/>
        <w:rPr>
          <w:lang w:val="fr-FR"/>
        </w:rPr>
      </w:pPr>
      <w:r w:rsidRPr="00AD619B">
        <w:rPr>
          <w:rFonts w:eastAsia="Amnesty Trade Gothic Light" w:cs="Amnesty Trade Gothic Light"/>
          <w:color w:val="000000"/>
          <w:bdr w:val="nil"/>
          <w:lang w:val="fr-FR"/>
        </w:rPr>
        <w:t>La procédure de reconnaissance du genre et du nom des personnes transgenres à l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état civil continuait de porter atteinte aux droits fondamentaux de ces personnes. Elles devaient en effet toujours se soumettre à des pratiques humiliantes dans le cadre de cette procédure (diagnostic psychiatrique, évaluations par des spécialistes, examen du comportement dans la vie quotidienne à l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aune de stéréotypes de genre, etc.). Dans l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accord de coalition conclu en mars 2018, le gouvernement fédéral s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engageait à adopter une réglementation précisant que les interventions chirurgicales sur des enfants intersexes ne pouvaient être pratiquées que lorsque la vie de l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enfant était menacée. Cet engagement n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 xml:space="preserve">a toujours pas été tenu. Des interventions médicales préjudiciables, invasives et irréversibles (opérations dites 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« 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correctrices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 »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, notamment) continuaient d</w:t>
      </w:r>
      <w:r w:rsidR="004428FA" w:rsidRPr="00AD619B">
        <w:rPr>
          <w:rFonts w:eastAsia="Amnesty Trade Gothic Light" w:cs="Amnesty Trade Gothic Light"/>
          <w:color w:val="000000"/>
          <w:bdr w:val="nil"/>
          <w:lang w:val="fr-FR"/>
        </w:rPr>
        <w:t>’</w:t>
      </w:r>
      <w:r w:rsidRPr="00AD619B">
        <w:rPr>
          <w:rFonts w:eastAsia="Amnesty Trade Gothic Light" w:cs="Amnesty Trade Gothic Light"/>
          <w:color w:val="000000"/>
          <w:bdr w:val="nil"/>
          <w:lang w:val="fr-FR"/>
        </w:rPr>
        <w:t>être pratiquées sur des enfants présentant des variations des caractéristiques sexuelles.</w:t>
      </w:r>
    </w:p>
    <w:p w14:paraId="41D579C8" w14:textId="77777777" w:rsidR="00A94F30" w:rsidRPr="00AD619B" w:rsidRDefault="00A94F30" w:rsidP="00C6298A">
      <w:pPr>
        <w:pStyle w:val="PSBodyText"/>
        <w:rPr>
          <w:lang w:val="fr-FR"/>
        </w:rPr>
      </w:pPr>
    </w:p>
    <w:p w14:paraId="41D579CC" w14:textId="77777777" w:rsidR="006F3536" w:rsidRPr="00AD619B" w:rsidRDefault="006F3536" w:rsidP="004F3409">
      <w:pPr>
        <w:pStyle w:val="PSBodyText"/>
        <w:rPr>
          <w:lang w:val="fr-FR"/>
        </w:rPr>
      </w:pPr>
    </w:p>
    <w:p w14:paraId="41D579CD" w14:textId="77777777" w:rsidR="006F3536" w:rsidRPr="00AD619B" w:rsidRDefault="006F3536" w:rsidP="004F3409">
      <w:pPr>
        <w:pStyle w:val="PSBodyText"/>
        <w:rPr>
          <w:lang w:val="fr-FR"/>
        </w:rPr>
      </w:pPr>
    </w:p>
    <w:sectPr w:rsidR="006F3536" w:rsidRPr="00AD619B" w:rsidSect="000C517A">
      <w:footerReference w:type="default" r:id="rId13"/>
      <w:headerReference w:type="first" r:id="rId14"/>
      <w:footerReference w:type="first" r:id="rId15"/>
      <w:pgSz w:w="11900" w:h="16840"/>
      <w:pgMar w:top="1588" w:right="794" w:bottom="1588" w:left="79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9266" w14:textId="77777777" w:rsidR="006946E0" w:rsidRDefault="006946E0">
      <w:r>
        <w:separator/>
      </w:r>
    </w:p>
  </w:endnote>
  <w:endnote w:type="continuationSeparator" w:id="0">
    <w:p w14:paraId="50CD1BD1" w14:textId="77777777" w:rsidR="006946E0" w:rsidRDefault="0069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79D1" w14:textId="77777777" w:rsidR="006946E0" w:rsidRPr="008E403C" w:rsidRDefault="006946E0" w:rsidP="004F3409">
    <w:pPr>
      <w:pStyle w:val="Pieddepage"/>
      <w:tabs>
        <w:tab w:val="clear" w:pos="4320"/>
        <w:tab w:val="clear" w:pos="8640"/>
        <w:tab w:val="left" w:pos="880"/>
      </w:tabs>
      <w:rPr>
        <w:rStyle w:val="Lienhypertextesuivivisit"/>
        <w:sz w:val="20"/>
        <w:lang w:val="fr-FR"/>
      </w:rPr>
    </w:pPr>
    <w:r>
      <w:rPr>
        <w:rFonts w:asciiTheme="majorHAnsi" w:hAnsiTheme="maj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D579D6" wp14:editId="41D579D7">
              <wp:simplePos x="0" y="0"/>
              <wp:positionH relativeFrom="column">
                <wp:posOffset>2734310</wp:posOffset>
              </wp:positionH>
              <wp:positionV relativeFrom="paragraph">
                <wp:posOffset>-17780</wp:posOffset>
              </wp:positionV>
              <wp:extent cx="809625" cy="209550"/>
              <wp:effectExtent l="0" t="0" r="952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579E4" w14:textId="77777777" w:rsidR="006946E0" w:rsidRPr="00BE4F94" w:rsidRDefault="006946E0" w:rsidP="004F34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Lienhypertextesuivivisit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79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5.3pt;margin-top:-1.4pt;width:63.7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sO+wEAAMwDAAAOAAAAZHJzL2Uyb0RvYy54bWysU8tu2zAQvBfoPxC815KNOIgFy0Hr1L2k&#10;DyDpB6woyiJKclmStuR+fZeU7QbprSgPBB+7w9nZ4fp+NJodpQ8Kbc3ns5IzaQW2yu5r/v159+6O&#10;sxDBtqDRypqfZOD3m7dv1oOr5AJ71K30jEBsqAZX8z5GVxVFEL00EGbopKXLDr2BSFu/L1oPA6Eb&#10;XSzK8rYY0LfOo5Ah0OnDdMk3Gb/rpIhfuy7IyHTNiVvMs89zk+Zis4Zq78H1SpxpwD+wMKAsPXqF&#10;eoAI7ODVX1BGCY8BuzgTaArsOiVkroGqmZevqnnqwclcC4kT3FWm8P9gxZfjN89UW/MbziwYatGz&#10;HCP7gCO7SeoMLlQU9OQoLI50TF3OlQb3iOJHYBa3Pdi9fO89Dr2EltjNU2bxInXCCQmkGT5jS8/A&#10;IWIGGjtvknQkBiN06tLp2plERdDhXbm6XSw5E3S1KFfLZe5cAdUl2fkQP0k0LC1q7qnxGRyOjyEm&#10;MlBdQtJbAbVqd0rrvPH7Zqs9OwKZZJdH5v8qTFs21Hy1JB4py2LKz/4xKpKJtTKJaBqTrZIYH22b&#10;QyIoPa2JibZndZIgkzRxbEYKTJI12J5IJ4+TWelz0aJH/4uzgYxa8/DzAF5yBlbQcc3jZbmN2dmp&#10;3ARElsmFn+2dPPlyn6P+fMLNbwAAAP//AwBQSwMEFAAGAAgAAAAhABsZ9jDfAAAACQEAAA8AAABk&#10;cnMvZG93bnJldi54bWxMj0FuwjAQRfeVegdrKnVTgUMgAUImqK3UqlsoB3DiIYka21FsSLh9p6uy&#10;HM3T/+/n+8l04kqDb51FWMwjEGQrp1tbI5y+P2YbED4oq1XnLCHcyMO+eHzIVabdaA90PYZacIj1&#10;mUJoQugzKX3VkFF+7nqy/Du7wajA51BLPaiRw00n4yhKpVGt5YZG9fTeUPVzvBiE89f4kmzH8jOc&#10;1odV+qbadeluiM9P0+sORKAp/MPwp8/qULBT6S5We9EhrJZRyijCLOYJDCTJZgGiRFhGMcgil/cL&#10;il8AAAD//wMAUEsBAi0AFAAGAAgAAAAhALaDOJL+AAAA4QEAABMAAAAAAAAAAAAAAAAAAAAAAFtD&#10;b250ZW50X1R5cGVzXS54bWxQSwECLQAUAAYACAAAACEAOP0h/9YAAACUAQAACwAAAAAAAAAAAAAA&#10;AAAvAQAAX3JlbHMvLnJlbHNQSwECLQAUAAYACAAAACEA9MT7DvsBAADMAwAADgAAAAAAAAAAAAAA&#10;AAAuAgAAZHJzL2Uyb0RvYy54bWxQSwECLQAUAAYACAAAACEAGxn2MN8AAAAJAQAADwAAAAAAAAAA&#10;AAAAAABVBAAAZHJzL2Rvd25yZXYueG1sUEsFBgAAAAAEAAQA8wAAAGEFAAAAAA==&#10;" stroked="f">
              <v:textbox>
                <w:txbxContent>
                  <w:p w14:paraId="41D579E4" w14:textId="77777777" w:rsidR="006946E0" w:rsidRPr="00BE4F94" w:rsidRDefault="006946E0" w:rsidP="004F340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Style w:val="Lienhypertextesuivivisit"/>
                        <w:rFonts w:asciiTheme="majorHAnsi" w:hAnsiTheme="majorHAnsi"/>
                        <w:noProof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Lienhypertextesuivivisit"/>
        <w:rFonts w:ascii="Amnesty Trade Gothic Cn" w:eastAsia="Amnesty Trade Gothic Cn" w:hAnsi="Amnesty Trade Gothic Cn" w:cs="Amnesty Trade Gothic Cn"/>
        <w:color w:val="000000"/>
        <w:szCs w:val="16"/>
        <w:bdr w:val="nil"/>
        <w:lang w:val="fr-FR"/>
      </w:rPr>
      <w:t>Les droits humains en Europe</w:t>
    </w:r>
  </w:p>
  <w:p w14:paraId="41D579D2" w14:textId="77777777" w:rsidR="006946E0" w:rsidRPr="008E403C" w:rsidRDefault="006946E0" w:rsidP="00A94F30">
    <w:pPr>
      <w:pStyle w:val="Pieddepage"/>
      <w:tabs>
        <w:tab w:val="clear" w:pos="4320"/>
        <w:tab w:val="clear" w:pos="8640"/>
        <w:tab w:val="left" w:pos="880"/>
      </w:tabs>
      <w:rPr>
        <w:lang w:val="fr-FR"/>
      </w:rPr>
    </w:pPr>
    <w:r>
      <w:rPr>
        <w:rStyle w:val="Lienhypertextesuivivisit"/>
        <w:rFonts w:ascii="Amnesty Trade Gothic Cn" w:eastAsia="Amnesty Trade Gothic Cn" w:hAnsi="Amnesty Trade Gothic Cn" w:cs="Amnesty Trade Gothic Cn"/>
        <w:color w:val="000000"/>
        <w:szCs w:val="16"/>
        <w:bdr w:val="nil"/>
        <w:lang w:val="fr-FR"/>
      </w:rPr>
      <w:t>Rétrospective 201</w:t>
    </w:r>
    <w:r>
      <w:rPr>
        <w:noProof/>
        <w:lang w:val="fr-FR" w:eastAsia="fr-FR"/>
      </w:rPr>
      <w:drawing>
        <wp:anchor distT="0" distB="0" distL="114300" distR="114300" simplePos="0" relativeHeight="251660288" behindDoc="0" locked="1" layoutInCell="1" allowOverlap="1" wp14:anchorId="41D579D8" wp14:editId="41D579D9">
          <wp:simplePos x="0" y="0"/>
          <wp:positionH relativeFrom="page">
            <wp:posOffset>6115050</wp:posOffset>
          </wp:positionH>
          <wp:positionV relativeFrom="page">
            <wp:posOffset>9883140</wp:posOffset>
          </wp:positionV>
          <wp:extent cx="1064895" cy="45085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748473" name="Logofooter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45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Style w:val="Lienhypertextesuivivisit"/>
        <w:rFonts w:ascii="Amnesty Trade Gothic Cn" w:eastAsia="Amnesty Trade Gothic Cn" w:hAnsi="Amnesty Trade Gothic Cn" w:cs="Amnesty Trade Gothic Cn"/>
        <w:color w:val="000000"/>
        <w:szCs w:val="16"/>
        <w:bdr w:val="nil"/>
        <w:lang w:val="fr-FR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79D4" w14:textId="77777777" w:rsidR="006946E0" w:rsidRPr="008E403C" w:rsidRDefault="006946E0" w:rsidP="00D550EA">
    <w:pPr>
      <w:pStyle w:val="Pieddepage"/>
      <w:rPr>
        <w:rStyle w:val="Lienhypertextesuivivisit"/>
        <w:sz w:val="20"/>
        <w:lang w:val="fr-FR"/>
      </w:rPr>
    </w:pPr>
    <w:r>
      <w:rPr>
        <w:rFonts w:asciiTheme="majorHAnsi" w:hAnsiTheme="maj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D579E2" wp14:editId="41D579E3">
              <wp:simplePos x="0" y="0"/>
              <wp:positionH relativeFrom="column">
                <wp:posOffset>1964690</wp:posOffset>
              </wp:positionH>
              <wp:positionV relativeFrom="paragraph">
                <wp:posOffset>-16510</wp:posOffset>
              </wp:positionV>
              <wp:extent cx="2619375" cy="222885"/>
              <wp:effectExtent l="0" t="0" r="9525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579E7" w14:textId="77777777" w:rsidR="006946E0" w:rsidRPr="00BE4F94" w:rsidRDefault="006946E0" w:rsidP="00BE4F9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60D1A">
                            <w:rPr>
                              <w:rStyle w:val="Lienhypertextesuivivisit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D579E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4.7pt;margin-top:-1.3pt;width:206.25pt;height:17.5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+VCgIAAO4DAAAOAAAAZHJzL2Uyb0RvYy54bWysU01v2zAMvQ/YfxB0X+y4SJcacYouXXbp&#10;1gHtfgAjy7EwSdQkJXb260cpH+222zAdBEoiH8nHp8XtaDTbSx8U2oZPJyVn0gpsld02/Nvz+t2c&#10;sxDBtqDRyoYfZOC3y7dvFoOrZYU96lZ6RiA21INreB+jq4siiF4aCBN00tJjh95ApKPfFq2HgdCN&#10;LqqyvC4G9K3zKGQIdHt/fOTLjN91UsTHrgsyMt1wqi3m3ed9k/ZiuYB668H1SpzKgH+owoCylPQC&#10;dQ8R2M6rv6CMEh4DdnEi0BTYdUrI3AN1My3/6OapBydzL0ROcBeawv+DFV/2Xz1TbcMrziwYGtGz&#10;HCP7gCOrEjuDCzU5PTlyiyNd05Rzp8E9oPgemMVVD3Yr77zHoZfQUnXTFFm8Cj3ihASyGT5jS2lg&#10;FzEDjZ03iToigxE6TelwmUwqRdBldT29uXo/40zQW1VV8/ksp4D6HO18iJ8kGpaMhnuafEaH/UOI&#10;qRqozy4pWUCt2rXSOh/8drPSnu2BVLLO64T+m5u2bGj4zayaZWSLKT4LyKhIKtbKNHxeppXCoU5s&#10;fLRttiMofbSpEm1P9CRGjtzEcTPmOVyl2ETdBtsD8eXxKFr6ZGT06H9yNpBgGx5+7MBLzsAKum54&#10;PJurmBWeW3N3xPNaZQpeUE/pSVSZmdMHSKp9fc5eL990+QsAAP//AwBQSwMEFAAGAAgAAAAhAGDq&#10;PtHgAAAACQEAAA8AAABkcnMvZG93bnJldi54bWxMj8tOwzAQRfdI/IM1SGxQ68RAS0Ocqrw27FpS&#10;ieU0niaB2I5itw18PcMKlqN7dO+ZfDnaThxpCK13GtJpAoJc5U3rag3l28vkDkSI6Ax23pGGLwqw&#10;LM7PcsyMP7k1HTexFlziQoYamhj7TMpQNWQxTH1PjrO9HyxGPodamgFPXG47qZJkJi22jhca7Omx&#10;oepzc7Aavh/Kp9XzVUz3Kr6r7dq+ltUHan15Ma7uQUQa4x8Mv/qsDgU77fzBmSA6DdfJ4oZRDRM1&#10;A8HAXKULEDtO1C3IIpf/Pyh+AAAA//8DAFBLAQItABQABgAIAAAAIQC2gziS/gAAAOEBAAATAAAA&#10;AAAAAAAAAAAAAAAAAABbQ29udGVudF9UeXBlc10ueG1sUEsBAi0AFAAGAAgAAAAhADj9If/WAAAA&#10;lAEAAAsAAAAAAAAAAAAAAAAALwEAAF9yZWxzLy5yZWxzUEsBAi0AFAAGAAgAAAAhAACMf5UKAgAA&#10;7gMAAA4AAAAAAAAAAAAAAAAALgIAAGRycy9lMm9Eb2MueG1sUEsBAi0AFAAGAAgAAAAhAGDqPtHg&#10;AAAACQEAAA8AAAAAAAAAAAAAAAAAZAQAAGRycy9kb3ducmV2LnhtbFBLBQYAAAAABAAEAPMAAABx&#10;BQAAAAA=&#10;" stroked="f">
              <v:textbox style="mso-fit-shape-to-text:t">
                <w:txbxContent>
                  <w:p w14:paraId="41D579E7" w14:textId="77777777" w:rsidR="006946E0" w:rsidRPr="00BE4F94" w:rsidRDefault="006946E0" w:rsidP="00BE4F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60D1A">
                      <w:rPr>
                        <w:rStyle w:val="Lienhypertextesuivivisit"/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Lienhypertextesuivivisit"/>
        <w:rFonts w:ascii="Amnesty Trade Gothic Cn" w:eastAsia="Amnesty Trade Gothic Cn" w:hAnsi="Amnesty Trade Gothic Cn" w:cs="Amnesty Trade Gothic Cn"/>
        <w:color w:val="000000"/>
        <w:szCs w:val="16"/>
        <w:bdr w:val="nil"/>
        <w:lang w:val="fr-FR"/>
      </w:rPr>
      <w:t>Les droits humains en Europe</w:t>
    </w:r>
  </w:p>
  <w:p w14:paraId="41D579D5" w14:textId="77777777" w:rsidR="006946E0" w:rsidRPr="008E403C" w:rsidRDefault="006946E0" w:rsidP="00D550EA">
    <w:pPr>
      <w:pStyle w:val="Pieddepage"/>
      <w:rPr>
        <w:rStyle w:val="Lienhypertextesuivivisit"/>
        <w:lang w:val="fr-FR"/>
      </w:rPr>
    </w:pPr>
    <w:bookmarkStart w:id="1" w:name="_Hlk2771402"/>
    <w:bookmarkStart w:id="2" w:name="_Hlk2771403"/>
    <w:r>
      <w:rPr>
        <w:rStyle w:val="Lienhypertextesuivivisit"/>
        <w:rFonts w:ascii="Amnesty Trade Gothic Cn" w:eastAsia="Amnesty Trade Gothic Cn" w:hAnsi="Amnesty Trade Gothic Cn" w:cs="Amnesty Trade Gothic Cn"/>
        <w:color w:val="000000"/>
        <w:szCs w:val="16"/>
        <w:bdr w:val="nil"/>
        <w:lang w:val="fr-FR"/>
      </w:rPr>
      <w:t>Rétrospective 201</w:t>
    </w:r>
    <w:bookmarkEnd w:id="1"/>
    <w:bookmarkEnd w:id="2"/>
    <w:r>
      <w:rPr>
        <w:rStyle w:val="Lienhypertextesuivivisit"/>
        <w:rFonts w:ascii="Amnesty Trade Gothic Cn" w:eastAsia="Amnesty Trade Gothic Cn" w:hAnsi="Amnesty Trade Gothic Cn" w:cs="Amnesty Trade Gothic Cn"/>
        <w:color w:val="000000"/>
        <w:szCs w:val="16"/>
        <w:bdr w:val="nil"/>
        <w:lang w:val="fr-F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0B40" w14:textId="77777777" w:rsidR="006946E0" w:rsidRDefault="006946E0">
      <w:r>
        <w:separator/>
      </w:r>
    </w:p>
  </w:footnote>
  <w:footnote w:type="continuationSeparator" w:id="0">
    <w:p w14:paraId="6C27AB90" w14:textId="77777777" w:rsidR="006946E0" w:rsidRDefault="0069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79D3" w14:textId="77777777" w:rsidR="006946E0" w:rsidRDefault="006946E0" w:rsidP="00B11FC5">
    <w:pPr>
      <w:pStyle w:val="En-tte"/>
      <w:tabs>
        <w:tab w:val="clear" w:pos="4320"/>
        <w:tab w:val="clear" w:pos="8640"/>
        <w:tab w:val="left" w:pos="9050"/>
      </w:tabs>
      <w:spacing w:after="1500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D579DA" wp14:editId="41D579DB">
              <wp:simplePos x="0" y="0"/>
              <wp:positionH relativeFrom="column">
                <wp:posOffset>-85090</wp:posOffset>
              </wp:positionH>
              <wp:positionV relativeFrom="paragraph">
                <wp:posOffset>749935</wp:posOffset>
              </wp:positionV>
              <wp:extent cx="6225540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579E5" w14:textId="77777777" w:rsidR="006946E0" w:rsidRPr="00BF05FE" w:rsidRDefault="006946E0" w:rsidP="00A94F30">
                          <w:pPr>
                            <w:rPr>
                              <w:rFonts w:asciiTheme="majorHAnsi" w:hAnsiTheme="majorHAnsi"/>
                              <w:b/>
                              <w:bCs/>
                              <w:caps/>
                              <w:color w:val="999999" w:themeColor="accent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mnesty Trade Gothic Cn" w:eastAsia="Amnesty Trade Gothic Cn" w:hAnsi="Amnesty Trade Gothic Cn" w:cs="Amnesty Trade Gothic Cn"/>
                              <w:b/>
                              <w:bCs/>
                              <w:caps/>
                              <w:color w:val="999999"/>
                              <w:sz w:val="32"/>
                              <w:szCs w:val="32"/>
                              <w:bdr w:val="nil"/>
                              <w:lang w:val="fr-FR"/>
                            </w:rPr>
                            <w:t>Les droits humains en Europe. Rétrospective 2019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79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7pt;margin-top:59.05pt;width:490.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S97AEAAK0DAAAOAAAAZHJzL2Uyb0RvYy54bWysU8Fu2zAMvQ/YPwi6L469pumMKMXWrrt0&#10;3YB2H8DIcizMEjVJiZ19/Sg5yYLtNswHgSbFR75HanU7mp7tlQ8areDlbM6ZshIbbbeCf3t5eHPD&#10;WYhgG+jRKsEPKvDb9etXq8HVqsIO+0Z5RiA21IMTvIvR1UURZKcMhBk6ZSnYojcQ6ddvi8bDQOim&#10;L6r5/LoY0DfOo1QhkPd+CvJ1xm9bJeOXtg0qsl5w6i3m0+dzk85ivYJ668F1Wh7bgH/owoC2VPQM&#10;dQ8R2M7rv6CMlh4DtnEm0RTYtlqqzIHYlPM/2Dx34FTmQuIEd5Yp/D9Y+bT/6pluBK/KJWcWDA3p&#10;RY2RfcCRVUmfwYWarj07uhhHctOcM9fgHlF+D8ziXQd2q957j0OnoKH+ypRZXKROOCGBbIbP2FAZ&#10;2EXMQGPrTRKP5GCETnM6nGeTWpHkvK6qxeKKQpJib5fl1XKRS0B9ynY+xE8KDUuG4J5mn9Fh/xhi&#10;6gbq05VUzOKD7vs8/96yQfB3i2qREy4iRkdaz14bwW/m6ZsWJpH8aJucHEH3k00FentknYhOlOO4&#10;GbPAWZKkyAabA8ngcdpGej1kdOh/cjbQJgoefuzAK87ASnILHk/mXcyre5KWdiLTOu5vWrrL/9zK&#10;71e2/gUAAP//AwBQSwMEFAAGAAgAAAAhAC5DXwrfAAAACwEAAA8AAABkcnMvZG93bnJldi54bWxM&#10;j81OwzAQhO9IvIO1SNxaO1DSNsSpEIgriP5J3Nx4m0TE6yh2m/D23Z7guDOfZmfy1ehaccY+NJ40&#10;JFMFAqn0tqFKw3bzPlmACNGQNa0n1PCLAVbF7U1uMusH+sLzOlaCQyhkRkMdY5dJGcoanQlT3yGx&#10;d/S9M5HPvpK2NwOHu1Y+KJVKZxriD7Xp8LXG8md9chp2H8fv/Ux9Vm/uqRv8qCS5pdT6/m58eQYR&#10;cYx/MFzrc3UouNPBn8gG0WqYJI8zRtlIFgkIJpbpnNcdWJmnKcgil/83FBcAAAD//wMAUEsBAi0A&#10;FAAGAAgAAAAhALaDOJL+AAAA4QEAABMAAAAAAAAAAAAAAAAAAAAAAFtDb250ZW50X1R5cGVzXS54&#10;bWxQSwECLQAUAAYACAAAACEAOP0h/9YAAACUAQAACwAAAAAAAAAAAAAAAAAvAQAAX3JlbHMvLnJl&#10;bHNQSwECLQAUAAYACAAAACEA6bKkvewBAACtAwAADgAAAAAAAAAAAAAAAAAuAgAAZHJzL2Uyb0Rv&#10;Yy54bWxQSwECLQAUAAYACAAAACEALkNfCt8AAAALAQAADwAAAAAAAAAAAAAAAABGBAAAZHJzL2Rv&#10;d25yZXYueG1sUEsFBgAAAAAEAAQA8wAAAFIFAAAAAA==&#10;" filled="f" stroked="f">
              <v:textbox>
                <w:txbxContent>
                  <w:p w14:paraId="41D579E5" w14:textId="77777777" w:rsidR="006946E0" w:rsidRPr="00BF05FE" w:rsidRDefault="006946E0" w:rsidP="00A94F30">
                    <w:pPr>
                      <w:rPr>
                        <w:rFonts w:asciiTheme="majorHAnsi" w:hAnsiTheme="majorHAnsi"/>
                        <w:b/>
                        <w:bCs/>
                        <w:caps/>
                        <w:color w:val="999999" w:themeColor="accent4"/>
                        <w:sz w:val="32"/>
                        <w:szCs w:val="32"/>
                      </w:rPr>
                    </w:pPr>
                    <w:r>
                      <w:rPr>
                        <w:rFonts w:ascii="Amnesty Trade Gothic Cn" w:eastAsia="Amnesty Trade Gothic Cn" w:hAnsi="Amnesty Trade Gothic Cn" w:cs="Amnesty Trade Gothic Cn"/>
                        <w:b/>
                        <w:bCs/>
                        <w:caps/>
                        <w:color w:val="999999"/>
                        <w:sz w:val="32"/>
                        <w:szCs w:val="32"/>
                        <w:bdr w:val="nil"/>
                        <w:lang w:val="fr-FR"/>
                      </w:rPr>
                      <w:t>Les droits humains en Europe. Rétrospective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579DC" wp14:editId="41D579DD">
              <wp:simplePos x="0" y="0"/>
              <wp:positionH relativeFrom="column">
                <wp:posOffset>7620</wp:posOffset>
              </wp:positionH>
              <wp:positionV relativeFrom="paragraph">
                <wp:posOffset>535305</wp:posOffset>
              </wp:positionV>
              <wp:extent cx="1280160" cy="251460"/>
              <wp:effectExtent l="0" t="0" r="15240" b="152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579E6" w14:textId="77777777" w:rsidR="006946E0" w:rsidRPr="00195BB5" w:rsidRDefault="006946E0" w:rsidP="003417A6">
                          <w:pPr>
                            <w:pStyle w:val="BasicParagraph"/>
                            <w:spacing w:line="204" w:lineRule="auto"/>
                            <w:rPr>
                              <w:rFonts w:ascii="Amnesty Trade Gothic Cn" w:hAnsi="Amnesty Trade Gothic Cn"/>
                              <w:b/>
                            </w:rPr>
                          </w:pPr>
                          <w:r>
                            <w:rPr>
                              <w:rFonts w:ascii="Amnesty Trade Gothic Cn" w:eastAsia="Amnesty Trade Gothic Cn" w:hAnsi="Amnesty Trade Gothic Cn" w:cs="Amnesty Trade Gothic Cn"/>
                              <w:b/>
                              <w:bCs/>
                              <w:position w:val="4"/>
                              <w:sz w:val="20"/>
                              <w:szCs w:val="20"/>
                              <w:bdr w:val="nil"/>
                              <w:lang w:val="fr-FR"/>
                            </w:rPr>
                            <w:t>www.amnesty.org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579DC" id="Text Box 12" o:spid="_x0000_s1028" type="#_x0000_t202" style="position:absolute;margin-left:.6pt;margin-top:42.15pt;width:100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xWYQIAAEQFAAAOAAAAZHJzL2Uyb0RvYy54bWysVEtP3DAQvlfqf7B8L9ldtQityCIKoqqE&#10;ABUQZ69js1Ftj2ubTba/vp+dZKG0F6penMnMN+/H8UlvDduqEFtyNZ8fzDhTTlLTusea399dfDji&#10;LCbhGmHIqZrvVOQnq/fvjju/VAvakGlUYDDi4rLzNd+k5JdVFeVGWREPyCsHoaZgRcJveKyaIDpY&#10;t6ZazGaHVUeh8YGkihHc80HIV8W+1kqma62jSszUHLGl8obyrvNbrY7F8jEIv2nlGIb4hyisaB2c&#10;7k2diyTYU2j/MGVbGSiSTgeSbEVat1KVHJDNfPYqm9uN8KrkguJEvy9T/H9m5dX2JrC2Qe8WnDlh&#10;0aM71Sf2mXoGFurT+bgE7NYDmHrwgZ34Ecycdq+DzV8kxCBHpXf76mZrMistjmbzQ4gkZItP84+g&#10;Yb561vYhpi+KLMtEzQO6V4oqtpcxDdAJkp05umiNKR007jcGbA4cVUZg1M6JDAEXKu2MylrGfVMa&#10;JShxZ0YZPnVmAtsKjI2QUrlUUi52gc4oDd9vURzxWXWI6i3Ke43imVzaK9vWUShVehV2830KWQ94&#10;lPpF3plM/bovvd/3eU3NDm0ONCxK9PKiRS8uRUw3ImAz0D5se7rGow11NaeR4mxD4eff+BmPgYWU&#10;sw6bVvP440kExZn56jDKeS0nIkzEeiLckz0jdGGOO+JlIaEQkplIHcg+4AicZi8QCSfhq+ZpIs/S&#10;sO84IlKdnhYQls+LdOluvcymc1XzZN31DyL4cfwSBveKph0Uy1dTOGDHog51G3+wqmWsx7OSb8HL&#10;/4J6Pn6rXwAAAP//AwBQSwMEFAAGAAgAAAAhAJcFPM/dAAAACAEAAA8AAABkcnMvZG93bnJldi54&#10;bWxMj8FOwzAQRO9I/IO1SNyoQ1pVbYhTVQhOSIg0HDg68TaxGq9D7Lbh77s90ePsjGbf5JvJ9eKE&#10;Y7CeFDzPEhBIjTeWWgXf1fvTCkSImozuPaGCPwywKe7vcp0Zf6YST7vYCi6hkGkFXYxDJmVoOnQ6&#10;zPyAxN7ej05HlmMrzajPXO56mSbJUjptiT90esDXDpvD7ugUbH+ofLO/n/VXuS9tVa0T+lgelHp8&#10;mLYvICJO8T8MV3xGh4KZan8kE0TPOuWggtViDoLtNEl5SX29z9cgi1zeDiguAAAA//8DAFBLAQIt&#10;ABQABgAIAAAAIQC2gziS/gAAAOEBAAATAAAAAAAAAAAAAAAAAAAAAABbQ29udGVudF9UeXBlc10u&#10;eG1sUEsBAi0AFAAGAAgAAAAhADj9If/WAAAAlAEAAAsAAAAAAAAAAAAAAAAALwEAAF9yZWxzLy5y&#10;ZWxzUEsBAi0AFAAGAAgAAAAhACI5zFZhAgAARAUAAA4AAAAAAAAAAAAAAAAALgIAAGRycy9lMm9E&#10;b2MueG1sUEsBAi0AFAAGAAgAAAAhAJcFPM/dAAAACAEAAA8AAAAAAAAAAAAAAAAAuwQAAGRycy9k&#10;b3ducmV2LnhtbFBLBQYAAAAABAAEAPMAAADFBQAAAAA=&#10;" filled="f" stroked="f">
              <v:textbox inset="0,0,0,0">
                <w:txbxContent>
                  <w:p w14:paraId="41D579E6" w14:textId="77777777" w:rsidR="006946E0" w:rsidRPr="00195BB5" w:rsidRDefault="006946E0" w:rsidP="003417A6">
                    <w:pPr>
                      <w:pStyle w:val="BasicParagraph"/>
                      <w:spacing w:line="204" w:lineRule="auto"/>
                      <w:rPr>
                        <w:rFonts w:ascii="Amnesty Trade Gothic Cn" w:hAnsi="Amnesty Trade Gothic Cn"/>
                        <w:b/>
                      </w:rPr>
                    </w:pPr>
                    <w:r>
                      <w:rPr>
                        <w:rFonts w:ascii="Amnesty Trade Gothic Cn" w:eastAsia="Amnesty Trade Gothic Cn" w:hAnsi="Amnesty Trade Gothic Cn" w:cs="Amnesty Trade Gothic Cn"/>
                        <w:b/>
                        <w:bCs/>
                        <w:position w:val="4"/>
                        <w:sz w:val="20"/>
                        <w:szCs w:val="20"/>
                        <w:bdr w:val="nil"/>
                        <w:lang w:val="fr-FR"/>
                      </w:rPr>
                      <w:t>www.amnesty.org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1D579DE" wp14:editId="41D579DF">
              <wp:simplePos x="0" y="0"/>
              <wp:positionH relativeFrom="page">
                <wp:posOffset>504190</wp:posOffset>
              </wp:positionH>
              <wp:positionV relativeFrom="page">
                <wp:posOffset>1242059</wp:posOffset>
              </wp:positionV>
              <wp:extent cx="6541135" cy="0"/>
              <wp:effectExtent l="0" t="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BBCA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9.7pt,97.8pt" to="554.7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zX2wEAABoEAAAOAAAAZHJzL2Uyb0RvYy54bWysU02P0zAQvSPtf7B83ybp0oKipnvoarkg&#10;qFj4AV7Hbiz5S2PTpP+esZMmFSCthLg4tufNm3nPk93jYDQ5CwjK2YZWq5ISYblrlT019Mf35/uP&#10;lITIbMu0s6KhFxHo4/7u3a73tVi7zulWAEESG+reN7SL0ddFEXgnDAsr54XFoHRgWMQjnIoWWI/s&#10;RhfrstwWvYPWg+MiBLx9GoN0n/mlFDx+lTKISHRDsbeYV8jra1qL/Y7VJ2C+U3xqg/1DF4Ypi0Vn&#10;qicWGfkJ6g8qozi44GRccWcKJ6XiImtANVX5m5qXjnmRtaA5wc82hf9Hy7+cj0BU29AtJZYZfKKX&#10;CEydukgOzlo00AHZJp96H2qEH+wRplPwR0iiBwkmfVEOGbK3l9lbMUTC8XK7eV9VDxtK+DVWLIke&#10;QvwknCFp01CtbJLNanb+HCIWQ+gVkq61JX1DH6oPm4wKTqv2WWmdYnlyxEEDOTN88zhUqXckuEHh&#10;SdsEFnlCphpJ36go7+JFi7HYNyHRIdSwHsul2VwqMM6Fjdcq2iI6pUnsZ04s306c8EtXc3L1dvKo&#10;41rZ2TgnG2Ud/I1gMUaOeDTpRnfavrr2kt86B3AAs4/Tz5Im/Pac05dfev8LAAD//wMAUEsDBBQA&#10;BgAIAAAAIQAkgBHm3gAAAAsBAAAPAAAAZHJzL2Rvd25yZXYueG1sTI/BSsQwEIbvgu8QRvDmJl1s&#10;tbXpIqIH9eQqy+5tNolNsUlKku7GtzcLgh7nn49/vmlXyYzkoHwYnOVQLBgQZYWTg+05fLw/Xd0C&#10;CRGtxNFZxeFbBVh152ctNtId7Zs6rGNPcokNDXLQMU4NpUFoZTAs3KRs3n06bzDm0fdUejzmcjPS&#10;JWMVNTjYfEHjpB60El/r2XB4TrvXebPcYNKsEL4U1bZ/fOH88iLd3wGJKsU/GE76WR267LR3s5WB&#10;jBxu6utM5rwuKyAnoGB1CWT/G9Gupf9/6H4AAAD//wMAUEsBAi0AFAAGAAgAAAAhALaDOJL+AAAA&#10;4QEAABMAAAAAAAAAAAAAAAAAAAAAAFtDb250ZW50X1R5cGVzXS54bWxQSwECLQAUAAYACAAAACEA&#10;OP0h/9YAAACUAQAACwAAAAAAAAAAAAAAAAAvAQAAX3JlbHMvLnJlbHNQSwECLQAUAAYACAAAACEA&#10;mLfM19sBAAAaBAAADgAAAAAAAAAAAAAAAAAuAgAAZHJzL2Uyb0RvYy54bWxQSwECLQAUAAYACAAA&#10;ACEAJIAR5t4AAAALAQAADwAAAAAAAAAAAAAAAAA1BAAAZHJzL2Rvd25yZXYueG1sUEsFBgAAAAAE&#10;AAQA8wAAAEAFAAAAAA==&#10;" strokecolor="black [3213]" strokeweight=".25pt">
              <w10:wrap anchorx="page" anchory="page"/>
              <w10:anchorlock/>
            </v:line>
          </w:pict>
        </mc:Fallback>
      </mc:AlternateContent>
    </w:r>
    <w:r>
      <w:tab/>
    </w:r>
    <w:r w:rsidRPr="00AE5E82">
      <w:rPr>
        <w:noProof/>
        <w:lang w:val="fr-FR" w:eastAsia="fr-FR"/>
      </w:rPr>
      <w:drawing>
        <wp:anchor distT="0" distB="0" distL="114300" distR="114300" simplePos="0" relativeHeight="251665408" behindDoc="0" locked="1" layoutInCell="1" allowOverlap="1" wp14:anchorId="41D579E0" wp14:editId="41D579E1">
          <wp:simplePos x="0" y="0"/>
          <wp:positionH relativeFrom="page">
            <wp:posOffset>5534025</wp:posOffset>
          </wp:positionH>
          <wp:positionV relativeFrom="page">
            <wp:posOffset>449580</wp:posOffset>
          </wp:positionV>
          <wp:extent cx="1522800" cy="64800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696527" name="Logo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385"/>
    <w:multiLevelType w:val="hybridMultilevel"/>
    <w:tmpl w:val="25963250"/>
    <w:lvl w:ilvl="0" w:tplc="DEFE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26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A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47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25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3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41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EF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7ECE"/>
    <w:multiLevelType w:val="multilevel"/>
    <w:tmpl w:val="C59A4C1C"/>
    <w:styleLink w:val="Numberedheadinglistlevel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Theme="minorHAnsi" w:hAnsiTheme="minorHAnsi" w:hint="default"/>
        <w:sz w:val="24"/>
        <w:szCs w:val="24"/>
      </w:rPr>
    </w:lvl>
    <w:lvl w:ilvl="3">
      <w:start w:val="1"/>
      <w:numFmt w:val="none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2EB7810"/>
    <w:multiLevelType w:val="multilevel"/>
    <w:tmpl w:val="6D000EB8"/>
    <w:styleLink w:val="Bulletlist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sz w:val="26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Georgia" w:hAnsi="Georgia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LockTheme/>
  <w:styleLockQFSet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D563EFF-048D-4D08-90B9-A7780D1B5274}"/>
    <w:docVar w:name="dgnword-eventsink" w:val="3021031188032"/>
  </w:docVars>
  <w:rsids>
    <w:rsidRoot w:val="00453AC5"/>
    <w:rsid w:val="000121C6"/>
    <w:rsid w:val="00014DC2"/>
    <w:rsid w:val="0003019E"/>
    <w:rsid w:val="00031AE3"/>
    <w:rsid w:val="00034649"/>
    <w:rsid w:val="000536AF"/>
    <w:rsid w:val="00062A9F"/>
    <w:rsid w:val="00074DA1"/>
    <w:rsid w:val="000864EC"/>
    <w:rsid w:val="000949FE"/>
    <w:rsid w:val="000A48B1"/>
    <w:rsid w:val="000C517A"/>
    <w:rsid w:val="000C580E"/>
    <w:rsid w:val="000D12B9"/>
    <w:rsid w:val="000E55D0"/>
    <w:rsid w:val="000E70CF"/>
    <w:rsid w:val="000F4DB2"/>
    <w:rsid w:val="00130D4B"/>
    <w:rsid w:val="00132574"/>
    <w:rsid w:val="00133BB6"/>
    <w:rsid w:val="001341C5"/>
    <w:rsid w:val="00147B51"/>
    <w:rsid w:val="00152840"/>
    <w:rsid w:val="00154D35"/>
    <w:rsid w:val="00160B90"/>
    <w:rsid w:val="0016366B"/>
    <w:rsid w:val="0017530E"/>
    <w:rsid w:val="00184F46"/>
    <w:rsid w:val="001853C3"/>
    <w:rsid w:val="001904F0"/>
    <w:rsid w:val="001948B9"/>
    <w:rsid w:val="00195BB5"/>
    <w:rsid w:val="001B22C6"/>
    <w:rsid w:val="001B26E5"/>
    <w:rsid w:val="001B6184"/>
    <w:rsid w:val="001B68F3"/>
    <w:rsid w:val="001E01B4"/>
    <w:rsid w:val="001E42A7"/>
    <w:rsid w:val="001E4CE0"/>
    <w:rsid w:val="00202377"/>
    <w:rsid w:val="00213E47"/>
    <w:rsid w:val="00242CD5"/>
    <w:rsid w:val="00252F21"/>
    <w:rsid w:val="002669C1"/>
    <w:rsid w:val="00272BB9"/>
    <w:rsid w:val="002808CF"/>
    <w:rsid w:val="002A1716"/>
    <w:rsid w:val="002A20AE"/>
    <w:rsid w:val="002A227E"/>
    <w:rsid w:val="002B0811"/>
    <w:rsid w:val="002C025D"/>
    <w:rsid w:val="002C6150"/>
    <w:rsid w:val="002E02FC"/>
    <w:rsid w:val="002E2271"/>
    <w:rsid w:val="002F127E"/>
    <w:rsid w:val="00301BB2"/>
    <w:rsid w:val="00330889"/>
    <w:rsid w:val="003417A6"/>
    <w:rsid w:val="00354523"/>
    <w:rsid w:val="00354962"/>
    <w:rsid w:val="00364DA6"/>
    <w:rsid w:val="0037746C"/>
    <w:rsid w:val="0039063C"/>
    <w:rsid w:val="00395F5E"/>
    <w:rsid w:val="00396016"/>
    <w:rsid w:val="003A53E7"/>
    <w:rsid w:val="003B5467"/>
    <w:rsid w:val="003C409A"/>
    <w:rsid w:val="003C4D76"/>
    <w:rsid w:val="003E395D"/>
    <w:rsid w:val="003F6E26"/>
    <w:rsid w:val="003F7EE6"/>
    <w:rsid w:val="00403D8E"/>
    <w:rsid w:val="00407E14"/>
    <w:rsid w:val="0041110C"/>
    <w:rsid w:val="00412BBE"/>
    <w:rsid w:val="0041509F"/>
    <w:rsid w:val="004428FA"/>
    <w:rsid w:val="00446134"/>
    <w:rsid w:val="00453AC5"/>
    <w:rsid w:val="00463C08"/>
    <w:rsid w:val="0046685E"/>
    <w:rsid w:val="00471C8B"/>
    <w:rsid w:val="00471DE8"/>
    <w:rsid w:val="00472A97"/>
    <w:rsid w:val="00477658"/>
    <w:rsid w:val="00480E03"/>
    <w:rsid w:val="00486652"/>
    <w:rsid w:val="004A31CC"/>
    <w:rsid w:val="004A37D1"/>
    <w:rsid w:val="004B6FA6"/>
    <w:rsid w:val="004C63A4"/>
    <w:rsid w:val="004D3E4F"/>
    <w:rsid w:val="004E3D57"/>
    <w:rsid w:val="004F2EA0"/>
    <w:rsid w:val="004F3409"/>
    <w:rsid w:val="00500BEC"/>
    <w:rsid w:val="005157A2"/>
    <w:rsid w:val="00522270"/>
    <w:rsid w:val="00537301"/>
    <w:rsid w:val="00540E38"/>
    <w:rsid w:val="005411C2"/>
    <w:rsid w:val="00560607"/>
    <w:rsid w:val="005616F0"/>
    <w:rsid w:val="00564D42"/>
    <w:rsid w:val="00575F58"/>
    <w:rsid w:val="005839DC"/>
    <w:rsid w:val="00593FB7"/>
    <w:rsid w:val="005B4512"/>
    <w:rsid w:val="005B77B8"/>
    <w:rsid w:val="005C6D10"/>
    <w:rsid w:val="005D1DCA"/>
    <w:rsid w:val="005D5D7D"/>
    <w:rsid w:val="005E2F13"/>
    <w:rsid w:val="005E4B1C"/>
    <w:rsid w:val="005F0467"/>
    <w:rsid w:val="006147CD"/>
    <w:rsid w:val="00617E1C"/>
    <w:rsid w:val="0063586B"/>
    <w:rsid w:val="00653868"/>
    <w:rsid w:val="0066288B"/>
    <w:rsid w:val="00662D63"/>
    <w:rsid w:val="00677DD4"/>
    <w:rsid w:val="006901D6"/>
    <w:rsid w:val="006946E0"/>
    <w:rsid w:val="00697F53"/>
    <w:rsid w:val="006A5471"/>
    <w:rsid w:val="006B1062"/>
    <w:rsid w:val="006B412E"/>
    <w:rsid w:val="006C1A3A"/>
    <w:rsid w:val="006C3DE5"/>
    <w:rsid w:val="006E4888"/>
    <w:rsid w:val="006F002B"/>
    <w:rsid w:val="006F3536"/>
    <w:rsid w:val="007103CB"/>
    <w:rsid w:val="0071159B"/>
    <w:rsid w:val="00730DD0"/>
    <w:rsid w:val="007403BD"/>
    <w:rsid w:val="0074104B"/>
    <w:rsid w:val="007415E7"/>
    <w:rsid w:val="00752E71"/>
    <w:rsid w:val="00754070"/>
    <w:rsid w:val="00775EB8"/>
    <w:rsid w:val="007771F5"/>
    <w:rsid w:val="007836E6"/>
    <w:rsid w:val="00792B16"/>
    <w:rsid w:val="007A56A0"/>
    <w:rsid w:val="007A74E9"/>
    <w:rsid w:val="007C5469"/>
    <w:rsid w:val="007D46B2"/>
    <w:rsid w:val="007E0540"/>
    <w:rsid w:val="007E7199"/>
    <w:rsid w:val="007E7D88"/>
    <w:rsid w:val="007F567E"/>
    <w:rsid w:val="00814245"/>
    <w:rsid w:val="008379B0"/>
    <w:rsid w:val="008379D8"/>
    <w:rsid w:val="00842D8F"/>
    <w:rsid w:val="00851B3B"/>
    <w:rsid w:val="00861BA0"/>
    <w:rsid w:val="008730AB"/>
    <w:rsid w:val="00873885"/>
    <w:rsid w:val="00884EFA"/>
    <w:rsid w:val="0089160C"/>
    <w:rsid w:val="008A45D3"/>
    <w:rsid w:val="008A7D53"/>
    <w:rsid w:val="008B1760"/>
    <w:rsid w:val="008B5BEC"/>
    <w:rsid w:val="008B5D2E"/>
    <w:rsid w:val="008C370C"/>
    <w:rsid w:val="008D2B06"/>
    <w:rsid w:val="008D6E8A"/>
    <w:rsid w:val="008E201A"/>
    <w:rsid w:val="008E403C"/>
    <w:rsid w:val="009072B4"/>
    <w:rsid w:val="00914185"/>
    <w:rsid w:val="00914779"/>
    <w:rsid w:val="00915AEA"/>
    <w:rsid w:val="00916F90"/>
    <w:rsid w:val="00917370"/>
    <w:rsid w:val="00917AB9"/>
    <w:rsid w:val="00931ABA"/>
    <w:rsid w:val="00950D23"/>
    <w:rsid w:val="009650FF"/>
    <w:rsid w:val="009667B1"/>
    <w:rsid w:val="00971E1F"/>
    <w:rsid w:val="009734F7"/>
    <w:rsid w:val="00983CA6"/>
    <w:rsid w:val="00983D70"/>
    <w:rsid w:val="00993E5D"/>
    <w:rsid w:val="00996D5C"/>
    <w:rsid w:val="00997C3C"/>
    <w:rsid w:val="009A3599"/>
    <w:rsid w:val="009A67DD"/>
    <w:rsid w:val="009A7694"/>
    <w:rsid w:val="009B2D5B"/>
    <w:rsid w:val="009B7C9F"/>
    <w:rsid w:val="009C4FFA"/>
    <w:rsid w:val="009C68B5"/>
    <w:rsid w:val="009D53ED"/>
    <w:rsid w:val="00A254F8"/>
    <w:rsid w:val="00A33111"/>
    <w:rsid w:val="00A33672"/>
    <w:rsid w:val="00A35310"/>
    <w:rsid w:val="00A4414F"/>
    <w:rsid w:val="00A8122D"/>
    <w:rsid w:val="00A829F7"/>
    <w:rsid w:val="00A83D68"/>
    <w:rsid w:val="00A87704"/>
    <w:rsid w:val="00A94F30"/>
    <w:rsid w:val="00AA07AA"/>
    <w:rsid w:val="00AA3465"/>
    <w:rsid w:val="00AC05CA"/>
    <w:rsid w:val="00AC1A66"/>
    <w:rsid w:val="00AC51E2"/>
    <w:rsid w:val="00AC5FC4"/>
    <w:rsid w:val="00AC6C2B"/>
    <w:rsid w:val="00AD619B"/>
    <w:rsid w:val="00AD63D2"/>
    <w:rsid w:val="00AD7957"/>
    <w:rsid w:val="00AE5E82"/>
    <w:rsid w:val="00B11FC5"/>
    <w:rsid w:val="00B125B0"/>
    <w:rsid w:val="00B179F3"/>
    <w:rsid w:val="00B22405"/>
    <w:rsid w:val="00B25A12"/>
    <w:rsid w:val="00B356D7"/>
    <w:rsid w:val="00B37260"/>
    <w:rsid w:val="00B419FC"/>
    <w:rsid w:val="00B842AE"/>
    <w:rsid w:val="00B873B0"/>
    <w:rsid w:val="00B90BA5"/>
    <w:rsid w:val="00BB0B0E"/>
    <w:rsid w:val="00BB7319"/>
    <w:rsid w:val="00BC3227"/>
    <w:rsid w:val="00BC53A9"/>
    <w:rsid w:val="00BC6C34"/>
    <w:rsid w:val="00BC6F19"/>
    <w:rsid w:val="00BD1CD5"/>
    <w:rsid w:val="00BE4F94"/>
    <w:rsid w:val="00BF05FE"/>
    <w:rsid w:val="00BF41C4"/>
    <w:rsid w:val="00C108B5"/>
    <w:rsid w:val="00C120A6"/>
    <w:rsid w:val="00C46C10"/>
    <w:rsid w:val="00C533BB"/>
    <w:rsid w:val="00C57C7F"/>
    <w:rsid w:val="00C6298A"/>
    <w:rsid w:val="00C64083"/>
    <w:rsid w:val="00C65FD8"/>
    <w:rsid w:val="00C753A4"/>
    <w:rsid w:val="00C859A0"/>
    <w:rsid w:val="00C960F7"/>
    <w:rsid w:val="00CA36F3"/>
    <w:rsid w:val="00CC4CD1"/>
    <w:rsid w:val="00CD5878"/>
    <w:rsid w:val="00CD7267"/>
    <w:rsid w:val="00CF3AC5"/>
    <w:rsid w:val="00D04A6E"/>
    <w:rsid w:val="00D05EF0"/>
    <w:rsid w:val="00D17AA2"/>
    <w:rsid w:val="00D26A87"/>
    <w:rsid w:val="00D33C5B"/>
    <w:rsid w:val="00D35596"/>
    <w:rsid w:val="00D537F4"/>
    <w:rsid w:val="00D550EA"/>
    <w:rsid w:val="00D60D1A"/>
    <w:rsid w:val="00D62C50"/>
    <w:rsid w:val="00D64A6B"/>
    <w:rsid w:val="00D6768C"/>
    <w:rsid w:val="00D74932"/>
    <w:rsid w:val="00D75256"/>
    <w:rsid w:val="00D758C7"/>
    <w:rsid w:val="00D8701C"/>
    <w:rsid w:val="00D97F49"/>
    <w:rsid w:val="00DA6D45"/>
    <w:rsid w:val="00DB5F2C"/>
    <w:rsid w:val="00DC125C"/>
    <w:rsid w:val="00DC2DE0"/>
    <w:rsid w:val="00DC5AC9"/>
    <w:rsid w:val="00DC7311"/>
    <w:rsid w:val="00DF6871"/>
    <w:rsid w:val="00DF7E66"/>
    <w:rsid w:val="00E0592C"/>
    <w:rsid w:val="00E13897"/>
    <w:rsid w:val="00E14A7E"/>
    <w:rsid w:val="00E15C4F"/>
    <w:rsid w:val="00E41157"/>
    <w:rsid w:val="00E41B10"/>
    <w:rsid w:val="00E429EC"/>
    <w:rsid w:val="00E56052"/>
    <w:rsid w:val="00E71954"/>
    <w:rsid w:val="00E76A70"/>
    <w:rsid w:val="00E804CB"/>
    <w:rsid w:val="00E82750"/>
    <w:rsid w:val="00E8447F"/>
    <w:rsid w:val="00E97F3E"/>
    <w:rsid w:val="00EA388A"/>
    <w:rsid w:val="00EA70FD"/>
    <w:rsid w:val="00EB2664"/>
    <w:rsid w:val="00EC1558"/>
    <w:rsid w:val="00ED4152"/>
    <w:rsid w:val="00ED5EF4"/>
    <w:rsid w:val="00ED5EF9"/>
    <w:rsid w:val="00EF7762"/>
    <w:rsid w:val="00F03CC9"/>
    <w:rsid w:val="00F123DA"/>
    <w:rsid w:val="00F20D89"/>
    <w:rsid w:val="00F249C8"/>
    <w:rsid w:val="00F25DAE"/>
    <w:rsid w:val="00F26B36"/>
    <w:rsid w:val="00F30D82"/>
    <w:rsid w:val="00F312D4"/>
    <w:rsid w:val="00F33BD8"/>
    <w:rsid w:val="00F3611F"/>
    <w:rsid w:val="00F44792"/>
    <w:rsid w:val="00F47596"/>
    <w:rsid w:val="00F5616B"/>
    <w:rsid w:val="00F641E9"/>
    <w:rsid w:val="00F844AE"/>
    <w:rsid w:val="00F931AC"/>
    <w:rsid w:val="00F94B5C"/>
    <w:rsid w:val="00FB43F4"/>
    <w:rsid w:val="00FC69CD"/>
    <w:rsid w:val="00FE288E"/>
    <w:rsid w:val="00FF52AB"/>
    <w:rsid w:val="06A5BF3C"/>
    <w:rsid w:val="0A867EA7"/>
    <w:rsid w:val="13382818"/>
    <w:rsid w:val="16619DF7"/>
    <w:rsid w:val="1AAA62E2"/>
    <w:rsid w:val="2405B522"/>
    <w:rsid w:val="2652A430"/>
    <w:rsid w:val="2902D94E"/>
    <w:rsid w:val="2C65008F"/>
    <w:rsid w:val="32E65EC1"/>
    <w:rsid w:val="493DF5C9"/>
    <w:rsid w:val="4D8DF162"/>
    <w:rsid w:val="5063D84E"/>
    <w:rsid w:val="59C4E2E0"/>
    <w:rsid w:val="5E95F9CD"/>
    <w:rsid w:val="62249D03"/>
    <w:rsid w:val="64C4F75D"/>
    <w:rsid w:val="6D3D7754"/>
    <w:rsid w:val="6E4F92DD"/>
    <w:rsid w:val="6E914AE4"/>
    <w:rsid w:val="77879A4B"/>
    <w:rsid w:val="7B86E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5799E"/>
  <w15:docId w15:val="{9BA79932-8E30-48CC-B767-56D4305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nesty Trade Gothic Light" w:eastAsiaTheme="minorEastAsia" w:hAnsi="Amnesty Trade Gothic Light" w:cs="Arial"/>
        <w:color w:val="000000" w:themeColor="text1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33088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Bulletlist">
    <w:name w:val="Bullet list"/>
    <w:uiPriority w:val="99"/>
    <w:locked/>
    <w:rsid w:val="009B2D5B"/>
    <w:pPr>
      <w:numPr>
        <w:numId w:val="1"/>
      </w:numPr>
    </w:pPr>
  </w:style>
  <w:style w:type="numbering" w:customStyle="1" w:styleId="Numberedheadinglistlevel2">
    <w:name w:val="Numbered heading list level 2"/>
    <w:basedOn w:val="Aucuneliste"/>
    <w:uiPriority w:val="99"/>
    <w:locked/>
    <w:rsid w:val="009B2D5B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locked/>
    <w:rsid w:val="00AE5E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7596"/>
  </w:style>
  <w:style w:type="paragraph" w:styleId="Pieddepage">
    <w:name w:val="footer"/>
    <w:basedOn w:val="Normal"/>
    <w:link w:val="PieddepageCar"/>
    <w:uiPriority w:val="99"/>
    <w:locked/>
    <w:rsid w:val="008379B0"/>
    <w:pPr>
      <w:tabs>
        <w:tab w:val="center" w:pos="4320"/>
        <w:tab w:val="right" w:pos="8640"/>
      </w:tabs>
      <w:spacing w:before="40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7596"/>
    <w:rPr>
      <w:sz w:val="16"/>
    </w:rPr>
  </w:style>
  <w:style w:type="paragraph" w:customStyle="1" w:styleId="PSBodyText">
    <w:name w:val="PS Body Text"/>
    <w:basedOn w:val="Normal"/>
    <w:uiPriority w:val="2"/>
    <w:qFormat/>
    <w:rsid w:val="00A8122D"/>
    <w:pPr>
      <w:spacing w:after="120" w:line="240" w:lineRule="exact"/>
    </w:pPr>
    <w:rPr>
      <w:szCs w:val="64"/>
    </w:rPr>
  </w:style>
  <w:style w:type="paragraph" w:customStyle="1" w:styleId="CSSubHeading">
    <w:name w:val="CS Sub Heading"/>
    <w:basedOn w:val="PSBodyText"/>
    <w:next w:val="PSBodyText"/>
    <w:uiPriority w:val="1"/>
    <w:qFormat/>
    <w:rsid w:val="008730AB"/>
    <w:pPr>
      <w:spacing w:before="240" w:line="280" w:lineRule="exact"/>
    </w:pPr>
    <w:rPr>
      <w:rFonts w:ascii="Amnesty Trade Gothic Cn" w:hAnsi="Amnesty Trade Gothic Cn"/>
      <w:b/>
      <w:sz w:val="28"/>
    </w:rPr>
  </w:style>
  <w:style w:type="table" w:styleId="Grilledutableau">
    <w:name w:val="Table Grid"/>
    <w:basedOn w:val="TableauNormal"/>
    <w:uiPriority w:val="59"/>
    <w:locked/>
    <w:rsid w:val="00A4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semiHidden/>
    <w:rsid w:val="001528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locked/>
    <w:rsid w:val="00301BB2"/>
    <w:rPr>
      <w:color w:val="000000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locked/>
    <w:rsid w:val="00301BB2"/>
    <w:rPr>
      <w:color w:val="000000" w:themeColor="text1"/>
      <w:u w:val="non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550EA"/>
    <w:rPr>
      <w:color w:val="808080"/>
      <w:shd w:val="clear" w:color="auto" w:fill="E6E6E6"/>
    </w:rPr>
  </w:style>
  <w:style w:type="paragraph" w:customStyle="1" w:styleId="PSTitle">
    <w:name w:val="PS Title"/>
    <w:basedOn w:val="PSBodyText"/>
    <w:qFormat/>
    <w:rsid w:val="00330889"/>
    <w:pPr>
      <w:spacing w:line="440" w:lineRule="exact"/>
    </w:pPr>
    <w:rPr>
      <w:rFonts w:asciiTheme="majorHAnsi" w:hAnsiTheme="majorHAnsi"/>
      <w:b/>
      <w:bCs/>
      <w:caps/>
      <w:sz w:val="44"/>
      <w:szCs w:val="44"/>
    </w:rPr>
  </w:style>
  <w:style w:type="paragraph" w:customStyle="1" w:styleId="PSsub-subheading">
    <w:name w:val="PS sub-sub heading"/>
    <w:basedOn w:val="CSSubHeading"/>
    <w:qFormat/>
    <w:rsid w:val="00330889"/>
    <w:pPr>
      <w:spacing w:line="220" w:lineRule="exact"/>
    </w:pPr>
    <w:rPr>
      <w:sz w:val="22"/>
      <w:szCs w:val="22"/>
    </w:rPr>
  </w:style>
  <w:style w:type="paragraph" w:customStyle="1" w:styleId="Default">
    <w:name w:val="Default"/>
    <w:rsid w:val="00BF05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locked/>
    <w:rsid w:val="003F7EE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EE6"/>
  </w:style>
  <w:style w:type="character" w:styleId="Appelnotedebasdep">
    <w:name w:val="footnote reference"/>
    <w:basedOn w:val="Policepardfaut"/>
    <w:uiPriority w:val="99"/>
    <w:semiHidden/>
    <w:locked/>
    <w:rsid w:val="003F7E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locked/>
    <w:rsid w:val="00F20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F20D89"/>
  </w:style>
  <w:style w:type="character" w:customStyle="1" w:styleId="CommentaireCar">
    <w:name w:val="Commentaire Car"/>
    <w:basedOn w:val="Policepardfaut"/>
    <w:link w:val="Commentaire"/>
    <w:uiPriority w:val="99"/>
    <w:semiHidden/>
    <w:rsid w:val="00F20D8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F20D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0D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F20D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D89"/>
    <w:rPr>
      <w:rFonts w:ascii="Segoe UI" w:hAnsi="Segoe UI" w:cs="Segoe UI"/>
      <w:sz w:val="18"/>
      <w:szCs w:val="18"/>
    </w:rPr>
  </w:style>
  <w:style w:type="paragraph" w:customStyle="1" w:styleId="AI-Fliesstext-ATG-10">
    <w:name w:val="AI-Fliesstext-ATG-10"/>
    <w:basedOn w:val="Normal"/>
    <w:qFormat/>
    <w:rsid w:val="00F33BD8"/>
    <w:pPr>
      <w:spacing w:after="200" w:line="260" w:lineRule="atLeast"/>
    </w:pPr>
    <w:rPr>
      <w:rFonts w:ascii="Amnesty Trade Gothic" w:eastAsia="Times New Roman" w:hAnsi="Amnesty Trade Gothic" w:cs="Times New Roman"/>
      <w:color w:val="auto"/>
      <w:lang w:val="de-DE" w:eastAsia="de-DE"/>
    </w:rPr>
  </w:style>
  <w:style w:type="paragraph" w:customStyle="1" w:styleId="AI-berschrift3-20pt-24Abstand">
    <w:name w:val="AI-Überschrift3-20pt-24Abstand"/>
    <w:basedOn w:val="Normal"/>
    <w:next w:val="AI-Fliesstext-ATG-10"/>
    <w:qFormat/>
    <w:rsid w:val="00F33BD8"/>
    <w:pPr>
      <w:spacing w:after="480" w:line="480" w:lineRule="exact"/>
    </w:pPr>
    <w:rPr>
      <w:rFonts w:ascii="Amnesty Trade Gothic Cn" w:eastAsia="Times New Roman" w:hAnsi="Amnesty Trade Gothic Cn" w:cs="Times New Roman"/>
      <w:b/>
      <w:caps/>
      <w:color w:val="auto"/>
      <w:sz w:val="40"/>
      <w:szCs w:val="24"/>
      <w:lang w:val="de-DE" w:eastAsia="de-DE"/>
    </w:rPr>
  </w:style>
  <w:style w:type="paragraph" w:customStyle="1" w:styleId="AI-berschrift3-20pt">
    <w:name w:val="AI-Überschrift3-20pt"/>
    <w:basedOn w:val="AI-berschrift3-20pt-24Abstand"/>
    <w:next w:val="AI-Fliesstext-ATG-10"/>
    <w:qFormat/>
    <w:rsid w:val="00F33BD8"/>
    <w:pPr>
      <w:spacing w:after="0"/>
    </w:pPr>
  </w:style>
  <w:style w:type="paragraph" w:styleId="Rvision">
    <w:name w:val="Revision"/>
    <w:hidden/>
    <w:uiPriority w:val="99"/>
    <w:semiHidden/>
    <w:rsid w:val="00E15C4F"/>
  </w:style>
  <w:style w:type="character" w:customStyle="1" w:styleId="UnresolvedMention2">
    <w:name w:val="Unresolved Mention2"/>
    <w:basedOn w:val="Policepardfaut"/>
    <w:uiPriority w:val="99"/>
    <w:semiHidden/>
    <w:unhideWhenUsed/>
    <w:rsid w:val="00012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mnesty International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FF00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FFFF00"/>
      </a:folHlink>
    </a:clrScheme>
    <a:fontScheme name="Amnesty Fonts">
      <a:majorFont>
        <a:latin typeface="Amnesty Trade Gothic Cn"/>
        <a:ea typeface=""/>
        <a:cs typeface=""/>
      </a:majorFont>
      <a:minorFont>
        <a:latin typeface="Amnesty Trade Gothic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914F52C01304AB4B935A9D116F23E" ma:contentTypeVersion="13" ma:contentTypeDescription="Create a new document." ma:contentTypeScope="" ma:versionID="4ce3538072c4ed546510d7caf299e58c">
  <xsd:schema xmlns:xsd="http://www.w3.org/2001/XMLSchema" xmlns:xs="http://www.w3.org/2001/XMLSchema" xmlns:p="http://schemas.microsoft.com/office/2006/metadata/properties" xmlns:ns3="243bafc8-0ecc-418e-a8a1-5f6df2e30067" xmlns:ns4="2736b57e-7286-40ff-a566-46656d0d24a9" targetNamespace="http://schemas.microsoft.com/office/2006/metadata/properties" ma:root="true" ma:fieldsID="5fd1c37b50f20deba9bb4c73b760a705" ns3:_="" ns4:_="">
    <xsd:import namespace="243bafc8-0ecc-418e-a8a1-5f6df2e30067"/>
    <xsd:import namespace="2736b57e-7286-40ff-a566-46656d0d2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afc8-0ecc-418e-a8a1-5f6df2e3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b57e-7286-40ff-a566-46656d0d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B9D3A1C2C014FBD533136A1288648" ma:contentTypeVersion="13" ma:contentTypeDescription="Create a new document." ma:contentTypeScope="" ma:versionID="cebb36a368f9eba68f66832eabca6462">
  <xsd:schema xmlns:xsd="http://www.w3.org/2001/XMLSchema" xmlns:xs="http://www.w3.org/2001/XMLSchema" xmlns:p="http://schemas.microsoft.com/office/2006/metadata/properties" xmlns:ns3="329a7fd5-94bc-499b-802e-dc4739e3d5ae" xmlns:ns4="311c86c0-6d28-44da-bcfe-f71ce577e081" targetNamespace="http://schemas.microsoft.com/office/2006/metadata/properties" ma:root="true" ma:fieldsID="9c7cf25d1d993edaddc7393007c8643c" ns3:_="" ns4:_="">
    <xsd:import namespace="329a7fd5-94bc-499b-802e-dc4739e3d5ae"/>
    <xsd:import namespace="311c86c0-6d28-44da-bcfe-f71ce577e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a7fd5-94bc-499b-802e-dc4739e3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86c0-6d28-44da-bcfe-f71ce577e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9F19-6003-4AF8-A797-887017DF1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81D4D-0AD8-464A-9DF3-1FEC28A76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492B6-36E9-476F-8115-632ADA26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afc8-0ecc-418e-a8a1-5f6df2e30067"/>
    <ds:schemaRef ds:uri="2736b57e-7286-40ff-a566-46656d0d2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18EA1-D031-451C-873B-33664CCD0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a7fd5-94bc-499b-802e-dc4739e3d5ae"/>
    <ds:schemaRef ds:uri="311c86c0-6d28-44da-bcfe-f71ce577e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3ED7F0-7D14-4CB8-8D05-FB619BD43F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371669-1291-493D-ADBD-6A235EF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Public Statement</vt:lpstr>
    </vt:vector>
  </TitlesOfParts>
  <Company>Amnesty International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Public Statement</dc:title>
  <dc:creator>Philip Luther</dc:creator>
  <cp:keywords>Human Rights</cp:keywords>
  <cp:lastModifiedBy>Oriane Ariaudo</cp:lastModifiedBy>
  <cp:revision>3</cp:revision>
  <cp:lastPrinted>2020-01-31T17:51:00Z</cp:lastPrinted>
  <dcterms:created xsi:type="dcterms:W3CDTF">2020-04-09T13:41:00Z</dcterms:created>
  <dcterms:modified xsi:type="dcterms:W3CDTF">2020-04-09T16:47:00Z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0x010100AB8B9D3A1C2C014FBD533136A1288648</vt:lpwstr>
  </property>
  <property fmtid="{D5CDD505-2E9C-101B-9397-08002B2CF9AE}" pid="3" name="_DocHome">
    <vt:i4>-1071271630</vt:i4>
  </property>
</Properties>
</file>